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b w:val="1"/>
          <w:i w:val="1"/>
          <w:color w:val="00206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32" w:firstLine="0"/>
        <w:rPr>
          <w:rFonts w:ascii="Comic Sans MS" w:cs="Comic Sans MS" w:eastAsia="Comic Sans MS" w:hAnsi="Comic Sans MS"/>
          <w:b w:val="1"/>
          <w:i w:val="1"/>
          <w:color w:val="0000ff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32" w:hanging="432"/>
        <w:rPr>
          <w:rFonts w:ascii="Arial" w:cs="Arial" w:eastAsia="Arial" w:hAnsi="Arial"/>
          <w:b w:val="1"/>
          <w:i w:val="1"/>
          <w:color w:val="0000ff"/>
          <w:sz w:val="22"/>
          <w:szCs w:val="22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i w:val="1"/>
          <w:color w:val="0000ff"/>
          <w:sz w:val="16"/>
          <w:szCs w:val="16"/>
          <w:rtl w:val="0"/>
        </w:rPr>
        <w:t xml:space="preserve">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</w:rPr>
        <w:drawing>
          <wp:inline distB="0" distT="0" distL="0" distR="0">
            <wp:extent cx="3221357" cy="1124123"/>
            <wp:effectExtent b="0" l="0" r="0" t="0"/>
            <wp:docPr id="60223279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21357" cy="112412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jc w:val="both"/>
        <w:rPr>
          <w:rFonts w:ascii="Arial" w:cs="Arial" w:eastAsia="Arial" w:hAnsi="Arial"/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Determinazione n.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43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del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19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settembre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2024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Il Direttore</w:t>
      </w:r>
    </w:p>
    <w:p w:rsidR="00000000" w:rsidDel="00000000" w:rsidP="00000000" w:rsidRDefault="00000000" w:rsidRPr="00000000" w14:paraId="0000000B">
      <w:pPr>
        <w:widowControl w:val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jc w:val="both"/>
        <w:rPr>
          <w:rFonts w:ascii="Arial" w:cs="Arial" w:eastAsia="Arial" w:hAnsi="Arial"/>
          <w:b w:val="1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Oggetto: Noleggio furgone senza conducente - 4SAFETYFVG 1.0 - CIG </w:t>
      </w:r>
      <w:r w:rsidDel="00000000" w:rsidR="00000000" w:rsidRPr="00000000">
        <w:rPr>
          <w:rFonts w:ascii="Arial" w:cs="Arial" w:eastAsia="Arial" w:hAnsi="Arial"/>
          <w:b w:val="1"/>
          <w:color w:val="222222"/>
          <w:sz w:val="22"/>
          <w:szCs w:val="22"/>
          <w:highlight w:val="white"/>
          <w:rtl w:val="0"/>
        </w:rPr>
        <w:t xml:space="preserve">B31A4118D9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before="28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Visto l’art. 4 del Regolamento di organizzazione dell’Ente;</w:t>
      </w:r>
    </w:p>
    <w:p w:rsidR="00000000" w:rsidDel="00000000" w:rsidP="00000000" w:rsidRDefault="00000000" w:rsidRPr="00000000" w14:paraId="0000000F">
      <w:pPr>
        <w:widowControl w:val="0"/>
        <w:spacing w:before="28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Visto l’art. 2 del Regolamento di Contabilità e  Amministrazione dell’Ente;</w:t>
      </w:r>
    </w:p>
    <w:p w:rsidR="00000000" w:rsidDel="00000000" w:rsidP="00000000" w:rsidRDefault="00000000" w:rsidRPr="00000000" w14:paraId="00000010">
      <w:pPr>
        <w:widowControl w:val="0"/>
        <w:spacing w:before="28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Visto il Budget 2024 deliberato dal Consiglio Direttivo dell’ente nelle seduta del 25 Ottobre 2023;</w:t>
      </w:r>
    </w:p>
    <w:p w:rsidR="00000000" w:rsidDel="00000000" w:rsidP="00000000" w:rsidRDefault="00000000" w:rsidRPr="00000000" w14:paraId="00000011">
      <w:pPr>
        <w:widowControl w:val="0"/>
        <w:spacing w:before="28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Visto il D.lgs. 36 dd. 31.03.2023 (c.d. Codice dei contratti) e, in particolare, l’art. 50, comma 1, lettera b) che disciplina l'affidamento diretto di servizi e forniture di importo inferiore a 140.000 euro;</w:t>
      </w:r>
    </w:p>
    <w:p w:rsidR="00000000" w:rsidDel="00000000" w:rsidP="00000000" w:rsidRDefault="00000000" w:rsidRPr="00000000" w14:paraId="00000012">
      <w:pPr>
        <w:widowControl w:val="0"/>
        <w:spacing w:before="28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Visto altresì l’art. 17, comma 2 dello stesso Codice in tema di affidamento diretto;</w:t>
      </w:r>
    </w:p>
    <w:p w:rsidR="00000000" w:rsidDel="00000000" w:rsidP="00000000" w:rsidRDefault="00000000" w:rsidRPr="00000000" w14:paraId="00000013">
      <w:pPr>
        <w:widowControl w:val="0"/>
        <w:spacing w:before="28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Vista la legge 27 dicembre 2006, n. 296, art. 1, comma 450 e ss. mm. ii. in base al quale, per gli acquisti di beni e servizi di importo inferiore ad euro 5.000,00 (euro cinquemila/00) non vige l’obbligo di ricorrere al MePA;</w:t>
      </w:r>
    </w:p>
    <w:p w:rsidR="00000000" w:rsidDel="00000000" w:rsidP="00000000" w:rsidRDefault="00000000" w:rsidRPr="00000000" w14:paraId="00000014">
      <w:pPr>
        <w:widowControl w:val="0"/>
        <w:spacing w:before="28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Considerata la necessità di questo Automobile Club noleggiare un furgone senza conducente per consentire le operazioni di trasporto delle strutture utilizzate per l'allestimento dell’evento che si terrà a Trieste il giorno 21 settembre p.v. nell’ambito dell’iniziativa 4SAFETYFVG 1.0;</w:t>
      </w:r>
    </w:p>
    <w:p w:rsidR="00000000" w:rsidDel="00000000" w:rsidP="00000000" w:rsidRDefault="00000000" w:rsidRPr="00000000" w14:paraId="00000015">
      <w:pPr>
        <w:widowControl w:val="0"/>
        <w:spacing w:before="28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Visto il preventivo dd. 16.09.2024 del fornitore Lilo s.r.l. con sede in Via Giuseppe de Coletti 7, Trieste - C.F. e P.IVA 01249580323 e considerato che l’importo offerto risulta essere congruo e conveniente;</w:t>
      </w:r>
    </w:p>
    <w:p w:rsidR="00000000" w:rsidDel="00000000" w:rsidP="00000000" w:rsidRDefault="00000000" w:rsidRPr="00000000" w14:paraId="00000016">
      <w:pPr>
        <w:widowControl w:val="0"/>
        <w:spacing w:before="28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Dato atto che nei confronti dell’operatore economico saranno effettuate le verifiche di legge contemplate dalla normativa vigente in materia di contratti pubblici e sarà verificata altresì la dichiarazione di tracciabilità in ottemperanza a quanto disposto dalla legge n.136/2010;</w:t>
      </w:r>
    </w:p>
    <w:p w:rsidR="00000000" w:rsidDel="00000000" w:rsidP="00000000" w:rsidRDefault="00000000" w:rsidRPr="00000000" w14:paraId="00000017">
      <w:pPr>
        <w:widowControl w:val="0"/>
        <w:spacing w:before="28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Ritenuto di dover procedere in merito;</w:t>
      </w:r>
    </w:p>
    <w:p w:rsidR="00000000" w:rsidDel="00000000" w:rsidP="00000000" w:rsidRDefault="00000000" w:rsidRPr="00000000" w14:paraId="00000018">
      <w:pPr>
        <w:widowControl w:val="0"/>
        <w:spacing w:before="28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Premesso quanto sopra</w:t>
      </w:r>
    </w:p>
    <w:p w:rsidR="00000000" w:rsidDel="00000000" w:rsidP="00000000" w:rsidRDefault="00000000" w:rsidRPr="00000000" w14:paraId="00000019">
      <w:pPr>
        <w:widowControl w:val="0"/>
        <w:spacing w:before="261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DETERMINA</w:t>
      </w:r>
    </w:p>
    <w:p w:rsidR="00000000" w:rsidDel="00000000" w:rsidP="00000000" w:rsidRDefault="00000000" w:rsidRPr="00000000" w14:paraId="0000001A">
      <w:pPr>
        <w:widowControl w:val="0"/>
        <w:spacing w:before="261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ind w:right="-3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l’affidamento del servizio di cui sopra al fornitore Lilo s.r.l. con sede in Via Giuseppe de Coletti 7, Trieste - C.F. e P.IVA 01249580323 per l’importo di euro 112,70 (centododici/70) al netto dell’IVA.</w:t>
      </w:r>
    </w:p>
    <w:p w:rsidR="00000000" w:rsidDel="00000000" w:rsidP="00000000" w:rsidRDefault="00000000" w:rsidRPr="00000000" w14:paraId="0000001C">
      <w:pPr>
        <w:widowControl w:val="0"/>
        <w:spacing w:before="247" w:line="220" w:lineRule="auto"/>
        <w:ind w:right="-3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Il pagamento sarà effettuato a seguito presentazione di fattura controllata e vistata in ordine alla regolarità e rispondenza formale e fiscale.</w:t>
      </w:r>
    </w:p>
    <w:p w:rsidR="00000000" w:rsidDel="00000000" w:rsidP="00000000" w:rsidRDefault="00000000" w:rsidRPr="00000000" w14:paraId="0000001D">
      <w:pPr>
        <w:widowControl w:val="0"/>
        <w:spacing w:before="247" w:line="220" w:lineRule="auto"/>
        <w:ind w:right="-3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spacing w:before="247" w:line="220" w:lineRule="auto"/>
        <w:ind w:right="-3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Trieste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19 settembre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2024</w:t>
      </w:r>
    </w:p>
    <w:p w:rsidR="00000000" w:rsidDel="00000000" w:rsidP="00000000" w:rsidRDefault="00000000" w:rsidRPr="00000000" w14:paraId="0000001F">
      <w:pPr>
        <w:widowControl w:val="0"/>
        <w:ind w:left="5760" w:firstLine="72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ind w:left="5760" w:firstLine="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Il Direttore</w:t>
      </w:r>
    </w:p>
    <w:p w:rsidR="00000000" w:rsidDel="00000000" w:rsidP="00000000" w:rsidRDefault="00000000" w:rsidRPr="00000000" w14:paraId="00000021">
      <w:pPr>
        <w:widowControl w:val="0"/>
        <w:ind w:left="5760" w:firstLine="0"/>
        <w:jc w:val="center"/>
        <w:rPr>
          <w:rFonts w:ascii="Arial" w:cs="Arial" w:eastAsia="Arial" w:hAnsi="Arial"/>
          <w:i w:val="1"/>
          <w:color w:val="122086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Angelo Centola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jc w:val="both"/>
        <w:rPr>
          <w:rFonts w:ascii="Arial" w:cs="Arial" w:eastAsia="Arial" w:hAnsi="Arial"/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jc w:val="both"/>
        <w:rPr>
          <w:rFonts w:ascii="Arial" w:cs="Arial" w:eastAsia="Arial" w:hAnsi="Arial"/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jc w:val="both"/>
        <w:rPr>
          <w:rFonts w:ascii="Arial" w:cs="Arial" w:eastAsia="Arial" w:hAnsi="Arial"/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jc w:val="both"/>
        <w:rPr>
          <w:rFonts w:ascii="Arial" w:cs="Arial" w:eastAsia="Arial" w:hAnsi="Arial"/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jc w:val="both"/>
        <w:rPr>
          <w:rFonts w:ascii="Arial" w:cs="Arial" w:eastAsia="Arial" w:hAnsi="Arial"/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jc w:val="both"/>
        <w:rPr>
          <w:rFonts w:ascii="Arial" w:cs="Arial" w:eastAsia="Arial" w:hAnsi="Arial"/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jc w:val="both"/>
        <w:rPr>
          <w:rFonts w:ascii="Arial" w:cs="Arial" w:eastAsia="Arial" w:hAnsi="Arial"/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jc w:val="both"/>
        <w:rPr>
          <w:rFonts w:ascii="Arial" w:cs="Arial" w:eastAsia="Arial" w:hAnsi="Arial"/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jc w:val="both"/>
        <w:rPr>
          <w:rFonts w:ascii="Arial" w:cs="Arial" w:eastAsia="Arial" w:hAnsi="Arial"/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jc w:val="both"/>
        <w:rPr>
          <w:rFonts w:ascii="Arial" w:cs="Arial" w:eastAsia="Arial" w:hAnsi="Arial"/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jc w:val="both"/>
        <w:rPr>
          <w:rFonts w:ascii="Arial" w:cs="Arial" w:eastAsia="Arial" w:hAnsi="Arial"/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jc w:val="both"/>
        <w:rPr>
          <w:rFonts w:ascii="Arial" w:cs="Arial" w:eastAsia="Arial" w:hAnsi="Arial"/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jc w:val="both"/>
        <w:rPr>
          <w:rFonts w:ascii="Arial" w:cs="Arial" w:eastAsia="Arial" w:hAnsi="Arial"/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jc w:val="both"/>
        <w:rPr>
          <w:rFonts w:ascii="Arial" w:cs="Arial" w:eastAsia="Arial" w:hAnsi="Arial"/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jc w:val="both"/>
        <w:rPr>
          <w:rFonts w:ascii="Arial" w:cs="Arial" w:eastAsia="Arial" w:hAnsi="Arial"/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jc w:val="both"/>
        <w:rPr>
          <w:rFonts w:ascii="Arial" w:cs="Arial" w:eastAsia="Arial" w:hAnsi="Arial"/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jc w:val="both"/>
        <w:rPr>
          <w:rFonts w:ascii="Arial" w:cs="Arial" w:eastAsia="Arial" w:hAnsi="Arial"/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jc w:val="both"/>
        <w:rPr>
          <w:rFonts w:ascii="Arial" w:cs="Arial" w:eastAsia="Arial" w:hAnsi="Arial"/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0"/>
        <w:jc w:val="both"/>
        <w:rPr>
          <w:rFonts w:ascii="Arial" w:cs="Arial" w:eastAsia="Arial" w:hAnsi="Arial"/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0"/>
        <w:jc w:val="both"/>
        <w:rPr>
          <w:rFonts w:ascii="Arial" w:cs="Arial" w:eastAsia="Arial" w:hAnsi="Arial"/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0"/>
        <w:jc w:val="both"/>
        <w:rPr>
          <w:rFonts w:ascii="Arial" w:cs="Arial" w:eastAsia="Arial" w:hAnsi="Arial"/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0"/>
        <w:jc w:val="both"/>
        <w:rPr>
          <w:rFonts w:ascii="Arial" w:cs="Arial" w:eastAsia="Arial" w:hAnsi="Arial"/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0"/>
        <w:jc w:val="both"/>
        <w:rPr>
          <w:rFonts w:ascii="Arial" w:cs="Arial" w:eastAsia="Arial" w:hAnsi="Arial"/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widowControl w:val="0"/>
        <w:jc w:val="both"/>
        <w:rPr>
          <w:rFonts w:ascii="Arial" w:cs="Arial" w:eastAsia="Arial" w:hAnsi="Arial"/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Arial" w:cs="Arial" w:eastAsia="Arial" w:hAnsi="Arial"/>
          <w:i w:val="1"/>
          <w:color w:val="122086"/>
          <w:sz w:val="16"/>
          <w:szCs w:val="16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6838" w:w="11906" w:orient="portrait"/>
      <w:pgMar w:bottom="1134" w:top="719" w:left="1584" w:right="164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mic Sans MS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432" w:hanging="432"/>
      </w:pPr>
      <w:rPr/>
    </w:lvl>
    <w:lvl w:ilvl="1">
      <w:start w:val="1"/>
      <w:numFmt w:val="decimal"/>
      <w:lvlText w:val=""/>
      <w:lvlJc w:val="left"/>
      <w:pPr>
        <w:ind w:left="576" w:hanging="576"/>
      </w:pPr>
      <w:rPr/>
    </w:lvl>
    <w:lvl w:ilvl="2">
      <w:start w:val="1"/>
      <w:numFmt w:val="decimal"/>
      <w:lvlText w:val=""/>
      <w:lvlJc w:val="left"/>
      <w:pPr>
        <w:ind w:left="720" w:hanging="720"/>
      </w:pPr>
      <w:rPr/>
    </w:lvl>
    <w:lvl w:ilvl="3">
      <w:start w:val="1"/>
      <w:numFmt w:val="decimal"/>
      <w:lvlText w:val=""/>
      <w:lvlJc w:val="left"/>
      <w:pPr>
        <w:ind w:left="864" w:hanging="864"/>
      </w:pPr>
      <w:rPr/>
    </w:lvl>
    <w:lvl w:ilvl="4">
      <w:start w:val="1"/>
      <w:numFmt w:val="decimal"/>
      <w:lvlText w:val=""/>
      <w:lvlJc w:val="left"/>
      <w:pPr>
        <w:ind w:left="1008" w:hanging="1008"/>
      </w:pPr>
      <w:rPr/>
    </w:lvl>
    <w:lvl w:ilvl="5">
      <w:start w:val="1"/>
      <w:numFmt w:val="decimal"/>
      <w:lvlText w:val=""/>
      <w:lvlJc w:val="left"/>
      <w:pPr>
        <w:ind w:left="1152" w:hanging="1152"/>
      </w:pPr>
      <w:rPr/>
    </w:lvl>
    <w:lvl w:ilvl="6">
      <w:start w:val="1"/>
      <w:numFmt w:val="decimal"/>
      <w:lvlText w:val=""/>
      <w:lvlJc w:val="left"/>
      <w:pPr>
        <w:ind w:left="1296" w:hanging="1296"/>
      </w:pPr>
      <w:rPr/>
    </w:lvl>
    <w:lvl w:ilvl="7">
      <w:start w:val="1"/>
      <w:numFmt w:val="decimal"/>
      <w:lvlText w:val=""/>
      <w:lvlJc w:val="left"/>
      <w:pPr>
        <w:ind w:left="1440" w:hanging="1440"/>
      </w:pPr>
      <w:rPr/>
    </w:lvl>
    <w:lvl w:ilvl="8">
      <w:start w:val="1"/>
      <w:numFmt w:val="decimal"/>
      <w:lvlText w:val=""/>
      <w:lvlJc w:val="left"/>
      <w:pPr>
        <w:ind w:left="1584" w:hanging="1584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left="0" w:hanging="432"/>
    </w:pPr>
    <w:rPr>
      <w:rFonts w:ascii="Comic Sans MS" w:cs="Comic Sans MS" w:eastAsia="Comic Sans MS" w:hAnsi="Comic Sans MS"/>
      <w:b w:val="1"/>
      <w:i w:val="1"/>
      <w:color w:val="0000ff"/>
      <w:sz w:val="16"/>
      <w:szCs w:val="16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widowControl w:val="0"/>
      <w:ind w:left="0" w:firstLine="720"/>
      <w:jc w:val="center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left="0" w:hanging="432"/>
    </w:pPr>
    <w:rPr>
      <w:rFonts w:ascii="Comic Sans MS" w:cs="Comic Sans MS" w:eastAsia="Comic Sans MS" w:hAnsi="Comic Sans MS"/>
      <w:b w:val="1"/>
      <w:i w:val="1"/>
      <w:color w:val="0000ff"/>
      <w:sz w:val="16"/>
      <w:szCs w:val="16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widowControl w:val="0"/>
      <w:ind w:left="0" w:firstLine="720"/>
      <w:jc w:val="center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left="0" w:hanging="432"/>
    </w:pPr>
    <w:rPr>
      <w:rFonts w:ascii="Comic Sans MS" w:cs="Comic Sans MS" w:eastAsia="Comic Sans MS" w:hAnsi="Comic Sans MS"/>
      <w:b w:val="1"/>
      <w:i w:val="1"/>
      <w:color w:val="0000ff"/>
      <w:sz w:val="16"/>
      <w:szCs w:val="16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widowControl w:val="0"/>
      <w:ind w:left="0" w:firstLine="720"/>
      <w:jc w:val="center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left="0" w:hanging="432"/>
    </w:pPr>
    <w:rPr>
      <w:rFonts w:ascii="Comic Sans MS" w:cs="Comic Sans MS" w:eastAsia="Comic Sans MS" w:hAnsi="Comic Sans MS"/>
      <w:b w:val="1"/>
      <w:i w:val="1"/>
      <w:color w:val="0000ff"/>
      <w:sz w:val="16"/>
      <w:szCs w:val="16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widowControl w:val="0"/>
      <w:ind w:left="0" w:firstLine="720"/>
      <w:jc w:val="center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left="0" w:hanging="432"/>
    </w:pPr>
    <w:rPr>
      <w:rFonts w:ascii="Comic Sans MS" w:cs="Comic Sans MS" w:eastAsia="Comic Sans MS" w:hAnsi="Comic Sans MS"/>
      <w:b w:val="1"/>
      <w:i w:val="1"/>
      <w:color w:val="0000ff"/>
      <w:sz w:val="16"/>
      <w:szCs w:val="16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widowControl w:val="0"/>
      <w:ind w:left="0" w:firstLine="720"/>
      <w:jc w:val="center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left="0" w:hanging="432"/>
    </w:pPr>
    <w:rPr>
      <w:rFonts w:ascii="Comic Sans MS" w:cs="Comic Sans MS" w:eastAsia="Comic Sans MS" w:hAnsi="Comic Sans MS"/>
      <w:b w:val="1"/>
      <w:i w:val="1"/>
      <w:color w:val="0000ff"/>
      <w:sz w:val="16"/>
      <w:szCs w:val="16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widowControl w:val="0"/>
      <w:ind w:left="0" w:firstLine="720"/>
      <w:jc w:val="center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left="0" w:hanging="432"/>
    </w:pPr>
    <w:rPr>
      <w:rFonts w:ascii="Comic Sans MS" w:cs="Comic Sans MS" w:eastAsia="Comic Sans MS" w:hAnsi="Comic Sans MS"/>
      <w:b w:val="1"/>
      <w:i w:val="1"/>
      <w:color w:val="0000ff"/>
      <w:sz w:val="16"/>
      <w:szCs w:val="16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widowControl w:val="0"/>
      <w:ind w:left="0" w:firstLine="720"/>
      <w:jc w:val="center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left="0" w:hanging="360"/>
    </w:pPr>
    <w:rPr>
      <w:rFonts w:ascii="Comic Sans MS" w:cs="Comic Sans MS" w:eastAsia="Comic Sans MS" w:hAnsi="Comic Sans MS"/>
      <w:b w:val="1"/>
      <w:i w:val="1"/>
      <w:color w:val="0000ff"/>
      <w:sz w:val="16"/>
      <w:szCs w:val="16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widowControl w:val="0"/>
      <w:ind w:left="0" w:firstLine="720"/>
      <w:jc w:val="center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pPr>
      <w:suppressAutoHyphens w:val="1"/>
    </w:pPr>
    <w:rPr>
      <w:lang w:eastAsia="ar-SA"/>
    </w:rPr>
  </w:style>
  <w:style w:type="paragraph" w:styleId="Titolo1">
    <w:name w:val="heading 1"/>
    <w:basedOn w:val="Normale"/>
    <w:next w:val="Normale"/>
    <w:uiPriority w:val="9"/>
    <w:qFormat w:val="1"/>
    <w:pPr>
      <w:keepNext w:val="1"/>
      <w:numPr>
        <w:numId w:val="1"/>
      </w:numPr>
      <w:ind w:left="0"/>
      <w:outlineLvl w:val="0"/>
    </w:pPr>
    <w:rPr>
      <w:rFonts w:ascii="Comic Sans MS" w:cs="Comic Sans MS" w:hAnsi="Comic Sans MS"/>
      <w:b w:val="1"/>
      <w:i w:val="1"/>
      <w:iCs w:val="1"/>
      <w:color w:val="0000ff"/>
      <w:sz w:val="16"/>
      <w:szCs w:val="20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widowControl w:val="0"/>
      <w:numPr>
        <w:ilvl w:val="3"/>
        <w:numId w:val="1"/>
      </w:numPr>
      <w:ind w:left="0" w:firstLine="720"/>
      <w:jc w:val="center"/>
      <w:outlineLvl w:val="3"/>
    </w:pPr>
    <w:rPr>
      <w:b w:val="1"/>
      <w:bCs w:val="1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WW8Num1z0" w:customStyle="1">
    <w:name w:val="WW8Num1z0"/>
  </w:style>
  <w:style w:type="character" w:styleId="WW8Num1z1" w:customStyle="1">
    <w:name w:val="WW8Num1z1"/>
  </w:style>
  <w:style w:type="character" w:styleId="WW8Num1z2" w:customStyle="1">
    <w:name w:val="WW8Num1z2"/>
  </w:style>
  <w:style w:type="character" w:styleId="WW8Num1z3" w:customStyle="1">
    <w:name w:val="WW8Num1z3"/>
  </w:style>
  <w:style w:type="character" w:styleId="WW8Num1z4" w:customStyle="1">
    <w:name w:val="WW8Num1z4"/>
  </w:style>
  <w:style w:type="character" w:styleId="WW8Num1z5" w:customStyle="1">
    <w:name w:val="WW8Num1z5"/>
  </w:style>
  <w:style w:type="character" w:styleId="WW8Num1z6" w:customStyle="1">
    <w:name w:val="WW8Num1z6"/>
  </w:style>
  <w:style w:type="character" w:styleId="WW8Num1z7" w:customStyle="1">
    <w:name w:val="WW8Num1z7"/>
  </w:style>
  <w:style w:type="character" w:styleId="WW8Num1z8" w:customStyle="1">
    <w:name w:val="WW8Num1z8"/>
  </w:style>
  <w:style w:type="character" w:styleId="Absatz-Standardschriftart" w:customStyle="1">
    <w:name w:val="Absatz-Standardschriftart"/>
  </w:style>
  <w:style w:type="character" w:styleId="WW-Absatz-Standardschriftart" w:customStyle="1">
    <w:name w:val="WW-Absatz-Standardschriftart"/>
  </w:style>
  <w:style w:type="character" w:styleId="WW-Absatz-Standardschriftart1" w:customStyle="1">
    <w:name w:val="WW-Absatz-Standardschriftart1"/>
  </w:style>
  <w:style w:type="character" w:styleId="WW-Absatz-Standardschriftart11" w:customStyle="1">
    <w:name w:val="WW-Absatz-Standardschriftart11"/>
  </w:style>
  <w:style w:type="character" w:styleId="WW8Num2z0" w:customStyle="1">
    <w:name w:val="WW8Num2z0"/>
    <w:rPr>
      <w:rFonts w:ascii="Symbol" w:cs="OpenSymbol" w:hAnsi="Symbol"/>
    </w:rPr>
  </w:style>
  <w:style w:type="character" w:styleId="WW-Absatz-Standardschriftart111" w:customStyle="1">
    <w:name w:val="WW-Absatz-Standardschriftart111"/>
  </w:style>
  <w:style w:type="character" w:styleId="WW-Absatz-Standardschriftart1111" w:customStyle="1">
    <w:name w:val="WW-Absatz-Standardschriftart1111"/>
  </w:style>
  <w:style w:type="character" w:styleId="WW-Absatz-Standardschriftart11111" w:customStyle="1">
    <w:name w:val="WW-Absatz-Standardschriftart11111"/>
  </w:style>
  <w:style w:type="character" w:styleId="WW-Absatz-Standardschriftart111111" w:customStyle="1">
    <w:name w:val="WW-Absatz-Standardschriftart111111"/>
  </w:style>
  <w:style w:type="character" w:styleId="WW-Absatz-Standardschriftart1111111" w:customStyle="1">
    <w:name w:val="WW-Absatz-Standardschriftart1111111"/>
  </w:style>
  <w:style w:type="character" w:styleId="WW-Absatz-Standardschriftart11111111" w:customStyle="1">
    <w:name w:val="WW-Absatz-Standardschriftart11111111"/>
  </w:style>
  <w:style w:type="character" w:styleId="WW-Absatz-Standardschriftart111111111" w:customStyle="1">
    <w:name w:val="WW-Absatz-Standardschriftart111111111"/>
  </w:style>
  <w:style w:type="character" w:styleId="Caratterepredefinitoparagrafo" w:customStyle="1">
    <w:name w:val="Carattere predefinito paragrafo"/>
  </w:style>
  <w:style w:type="character" w:styleId="Collegamentoipertestuale">
    <w:name w:val="Hyperlink"/>
    <w:rPr>
      <w:color w:val="0000ff"/>
      <w:u w:val="single"/>
    </w:rPr>
  </w:style>
  <w:style w:type="character" w:styleId="Punti" w:customStyle="1">
    <w:name w:val="Punti"/>
    <w:rPr>
      <w:rFonts w:ascii="OpenSymbol" w:cs="OpenSymbol" w:eastAsia="OpenSymbol" w:hAnsi="OpenSymbol"/>
    </w:rPr>
  </w:style>
  <w:style w:type="character" w:styleId="WW8Num2z1" w:customStyle="1">
    <w:name w:val="WW8Num2z1"/>
  </w:style>
  <w:style w:type="character" w:styleId="WW8Num2z2" w:customStyle="1">
    <w:name w:val="WW8Num2z2"/>
  </w:style>
  <w:style w:type="character" w:styleId="WW8Num2z3" w:customStyle="1">
    <w:name w:val="WW8Num2z3"/>
  </w:style>
  <w:style w:type="character" w:styleId="WW8Num2z4" w:customStyle="1">
    <w:name w:val="WW8Num2z4"/>
  </w:style>
  <w:style w:type="character" w:styleId="WW8Num2z5" w:customStyle="1">
    <w:name w:val="WW8Num2z5"/>
  </w:style>
  <w:style w:type="character" w:styleId="WW8Num2z6" w:customStyle="1">
    <w:name w:val="WW8Num2z6"/>
  </w:style>
  <w:style w:type="character" w:styleId="WW8Num2z7" w:customStyle="1">
    <w:name w:val="WW8Num2z7"/>
  </w:style>
  <w:style w:type="character" w:styleId="WW8Num2z8" w:customStyle="1">
    <w:name w:val="WW8Num2z8"/>
  </w:style>
  <w:style w:type="character" w:styleId="Caratteredinumerazione" w:customStyle="1">
    <w:name w:val="Carattere di numerazione"/>
  </w:style>
  <w:style w:type="character" w:styleId="WW8Num4z0" w:customStyle="1">
    <w:name w:val="WW8Num4z0"/>
    <w:rPr>
      <w:rFonts w:hint="default"/>
    </w:rPr>
  </w:style>
  <w:style w:type="character" w:styleId="WW8Num4z1" w:customStyle="1">
    <w:name w:val="WW8Num4z1"/>
  </w:style>
  <w:style w:type="character" w:styleId="WW8Num4z2" w:customStyle="1">
    <w:name w:val="WW8Num4z2"/>
  </w:style>
  <w:style w:type="character" w:styleId="WW8Num4z3" w:customStyle="1">
    <w:name w:val="WW8Num4z3"/>
  </w:style>
  <w:style w:type="character" w:styleId="WW8Num4z4" w:customStyle="1">
    <w:name w:val="WW8Num4z4"/>
  </w:style>
  <w:style w:type="character" w:styleId="WW8Num4z5" w:customStyle="1">
    <w:name w:val="WW8Num4z5"/>
  </w:style>
  <w:style w:type="character" w:styleId="WW8Num4z6" w:customStyle="1">
    <w:name w:val="WW8Num4z6"/>
  </w:style>
  <w:style w:type="character" w:styleId="WW8Num4z7" w:customStyle="1">
    <w:name w:val="WW8Num4z7"/>
  </w:style>
  <w:style w:type="character" w:styleId="WW8Num4z8" w:customStyle="1">
    <w:name w:val="WW8Num4z8"/>
  </w:style>
  <w:style w:type="paragraph" w:styleId="Intestazione1" w:customStyle="1">
    <w:name w:val="Intestazione1"/>
    <w:basedOn w:val="Normale"/>
    <w:next w:val="Corpotesto"/>
    <w:pPr>
      <w:keepNext w:val="1"/>
      <w:spacing w:after="120" w:before="240"/>
    </w:pPr>
    <w:rPr>
      <w:rFonts w:ascii="Arial" w:cs="Mangal" w:eastAsia="Microsoft YaHei" w:hAnsi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1" w:customStyle="1">
    <w:name w:val="Didascalia1"/>
    <w:basedOn w:val="Normale"/>
    <w:pPr>
      <w:suppressLineNumbers w:val="1"/>
      <w:spacing w:after="120" w:before="120"/>
    </w:pPr>
    <w:rPr>
      <w:rFonts w:cs="Mangal"/>
      <w:i w:val="1"/>
      <w:iCs w:val="1"/>
    </w:rPr>
  </w:style>
  <w:style w:type="paragraph" w:styleId="Indice" w:customStyle="1">
    <w:name w:val="Indice"/>
    <w:basedOn w:val="Normale"/>
    <w:pPr>
      <w:suppressLineNumbers w:val="1"/>
    </w:pPr>
    <w:rPr>
      <w:rFonts w:cs="Mangal"/>
    </w:rPr>
  </w:style>
  <w:style w:type="paragraph" w:styleId="Testofumetto">
    <w:name w:val="Balloon Text"/>
    <w:basedOn w:val="Normale"/>
    <w:rPr>
      <w:rFonts w:ascii="Tahoma" w:cs="Tahoma" w:hAnsi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21" w:customStyle="1">
    <w:name w:val="Rientro corpo del testo 21"/>
    <w:basedOn w:val="Normale"/>
    <w:pPr>
      <w:widowControl w:val="0"/>
      <w:ind w:firstLine="720"/>
      <w:jc w:val="both"/>
    </w:pPr>
  </w:style>
  <w:style w:type="paragraph" w:styleId="Paragrafoelenco">
    <w:name w:val="List Paragraph"/>
    <w:basedOn w:val="Normale"/>
    <w:uiPriority w:val="34"/>
    <w:qFormat w:val="1"/>
    <w:pPr>
      <w:ind w:left="720"/>
    </w:pPr>
    <w:rPr>
      <w:rFonts w:ascii="Calibri" w:cs="Calibri" w:eastAsia="Calibri" w:hAnsi="Calibri"/>
      <w:sz w:val="22"/>
      <w:szCs w:val="22"/>
    </w:rPr>
  </w:style>
  <w:style w:type="paragraph" w:styleId="Corpodeltesto21" w:customStyle="1">
    <w:name w:val="Corpo del testo 21"/>
    <w:basedOn w:val="Normale"/>
    <w:pPr>
      <w:jc w:val="both"/>
    </w:pPr>
  </w:style>
  <w:style w:type="character" w:styleId="Menzionenonrisolta">
    <w:name w:val="Unresolved Mention"/>
    <w:uiPriority w:val="99"/>
    <w:semiHidden w:val="1"/>
    <w:unhideWhenUsed w:val="1"/>
    <w:rsid w:val="00E561C2"/>
    <w:rPr>
      <w:color w:val="605e5c"/>
      <w:shd w:color="auto" w:fill="e1dfdd" w:val="clear"/>
    </w:r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fmWdKsftaH3ZgW+az3Y5JF+9Zg==">CgMxLjA4AHIhMTBfSXMyLTYwUnEzTlNSYWp1RE1qdkxzY3hzZ0hTUU1H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2024-05-29T17:09:00Z</dcterms:created>
  <dc:creator>Antonio</dc:creator>
</cp:coreProperties>
</file>