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A9" w:rsidRDefault="00AE47A9" w:rsidP="002B2F4C">
      <w:pPr>
        <w:ind w:left="-426"/>
        <w:rPr>
          <w:rFonts w:ascii="Arial" w:hAnsi="Arial"/>
        </w:rPr>
      </w:pPr>
    </w:p>
    <w:p w:rsidR="00AE47A9" w:rsidRDefault="00D117B1">
      <w:pPr>
        <w:jc w:val="center"/>
      </w:pPr>
      <w:r>
        <w:rPr>
          <w:rFonts w:ascii="Arial" w:hAnsi="Arial"/>
          <w:noProof/>
        </w:rPr>
        <w:drawing>
          <wp:inline distT="0" distB="0" distL="0" distR="0">
            <wp:extent cx="1052195" cy="1043940"/>
            <wp:effectExtent l="19050" t="0" r="0" b="0"/>
            <wp:docPr id="1" name="Immagine 1" descr="logo_A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7A9" w:rsidRDefault="00AE47A9">
      <w:pPr>
        <w:jc w:val="center"/>
        <w:rPr>
          <w:rFonts w:ascii="Century Gothic" w:hAnsi="Century Gothic"/>
          <w:b/>
          <w:sz w:val="28"/>
        </w:rPr>
      </w:pPr>
    </w:p>
    <w:p w:rsidR="00AE47A9" w:rsidRDefault="00AE47A9">
      <w:pPr>
        <w:jc w:val="center"/>
        <w:rPr>
          <w:rFonts w:ascii="Arial Unicode MS" w:eastAsia="Arial Unicode MS" w:hAnsi="Arial Unicode MS"/>
          <w:b/>
          <w:color w:val="000080"/>
          <w:sz w:val="32"/>
        </w:rPr>
      </w:pPr>
      <w:r>
        <w:rPr>
          <w:rFonts w:ascii="Arial Unicode MS" w:eastAsia="Arial Unicode MS" w:hAnsi="Arial Unicode MS"/>
          <w:b/>
          <w:color w:val="000080"/>
          <w:sz w:val="32"/>
        </w:rPr>
        <w:t>AUTOMOBILE CLUB  RIETI</w:t>
      </w:r>
    </w:p>
    <w:p w:rsidR="00AE47A9" w:rsidRDefault="00AE47A9">
      <w:pPr>
        <w:jc w:val="center"/>
        <w:rPr>
          <w:rFonts w:ascii="Arial Unicode MS" w:eastAsia="Arial Unicode MS" w:hAnsi="Arial Unicode MS"/>
          <w:b/>
          <w:color w:val="000080"/>
          <w:sz w:val="32"/>
        </w:rPr>
      </w:pPr>
    </w:p>
    <w:p w:rsidR="00AE47A9" w:rsidRDefault="00AE47A9">
      <w:pPr>
        <w:jc w:val="center"/>
        <w:rPr>
          <w:rFonts w:ascii="Arial Unicode MS" w:eastAsia="Arial Unicode MS" w:hAnsi="Arial Unicode MS"/>
          <w:b/>
          <w:sz w:val="28"/>
        </w:rPr>
      </w:pPr>
      <w:r>
        <w:rPr>
          <w:rFonts w:ascii="Arial Unicode MS" w:eastAsia="Arial Unicode MS" w:hAnsi="Arial Unicode MS"/>
          <w:b/>
          <w:sz w:val="28"/>
        </w:rPr>
        <w:t>RELAZIONE DEL PRESIDENTE</w:t>
      </w:r>
    </w:p>
    <w:p w:rsidR="00AE47A9" w:rsidRDefault="006D5AB2">
      <w:pPr>
        <w:jc w:val="center"/>
        <w:rPr>
          <w:rFonts w:ascii="Arial Unicode MS" w:eastAsia="Arial Unicode MS" w:hAnsi="Arial Unicode MS"/>
          <w:sz w:val="22"/>
        </w:rPr>
      </w:pPr>
      <w:r>
        <w:rPr>
          <w:rFonts w:ascii="Arial Unicode MS" w:eastAsia="Arial Unicode MS" w:hAnsi="Arial Unicode MS"/>
          <w:b/>
          <w:sz w:val="28"/>
        </w:rPr>
        <w:t>AL BUDGET ANNUALE 201</w:t>
      </w:r>
      <w:r w:rsidR="009F3845">
        <w:rPr>
          <w:rFonts w:ascii="Arial Unicode MS" w:eastAsia="Arial Unicode MS" w:hAnsi="Arial Unicode MS"/>
          <w:b/>
          <w:sz w:val="28"/>
        </w:rPr>
        <w:t>6</w:t>
      </w:r>
    </w:p>
    <w:p w:rsidR="00AE47A9" w:rsidRDefault="00AE47A9">
      <w:pPr>
        <w:rPr>
          <w:rFonts w:ascii="Arial" w:hAnsi="Arial"/>
          <w:sz w:val="22"/>
        </w:rPr>
      </w:pPr>
    </w:p>
    <w:p w:rsidR="00AE47A9" w:rsidRDefault="00AE47A9">
      <w:pPr>
        <w:rPr>
          <w:rFonts w:ascii="Arial" w:hAnsi="Arial"/>
          <w:sz w:val="22"/>
        </w:rPr>
      </w:pPr>
    </w:p>
    <w:p w:rsidR="00AE47A9" w:rsidRDefault="00AE47A9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Egregi Consiglieri,</w:t>
      </w:r>
    </w:p>
    <w:p w:rsidR="00AE47A9" w:rsidRDefault="00AE47A9">
      <w:pPr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il Bilancio di</w:t>
      </w:r>
      <w:r w:rsidR="006D5AB2">
        <w:rPr>
          <w:rFonts w:ascii="Century Gothic" w:hAnsi="Century Gothic"/>
          <w:sz w:val="22"/>
        </w:rPr>
        <w:t xml:space="preserve"> Previsione per l’esercizio 201</w:t>
      </w:r>
      <w:r w:rsidR="00F64696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 xml:space="preserve"> è stato formulato conformemente al nuovo Regolamento di Amministrazione e contabilità approvato da questo C.D. il 23 settembre 2009, delibera n° 14.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Il Budget annuale è formulato in termini economici di competenza dove l’unità elementare è il conto e raffigura in cifre il piano generale delle attività dell’Ente elaborato dal Direttore e deliberato su proposta dello stesso.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Il budget annuale si compone di Budget Economico e Budget degli investimenti/dismissioni, costituiscono altresì allegati al budget annuale: la relazione del Presidente la relazione del Collegio dei Revisori dei Conti  e del Budget di Tesoreria. </w:t>
      </w:r>
    </w:p>
    <w:p w:rsidR="00A56DA5" w:rsidRDefault="00A56DA5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Il Budget economico è redatto in forma scalare in conformità all’allegato riportato nel Regolamento di contabilità ed amministrazione nel rispetto dello schema previsto dall’art.2425 del codice civile.</w:t>
      </w:r>
    </w:p>
    <w:p w:rsidR="009D7638" w:rsidRDefault="009D7638">
      <w:pPr>
        <w:jc w:val="both"/>
        <w:rPr>
          <w:rFonts w:ascii="Century Gothic" w:hAnsi="Century Gothic"/>
          <w:sz w:val="22"/>
        </w:rPr>
      </w:pPr>
    </w:p>
    <w:p w:rsidR="009D7638" w:rsidRDefault="009D7638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ottemperanza a quanto previsto dalla  Circolare del Mef .35 del 22.08.2013 , che prevede i criteri  e le modalità di predisposizione del budget economico delle Amministrazioni pubbliche in contabi</w:t>
      </w:r>
      <w:r w:rsidR="00A56DA5">
        <w:rPr>
          <w:rFonts w:ascii="Century Gothic" w:hAnsi="Century Gothic"/>
          <w:sz w:val="22"/>
        </w:rPr>
        <w:t>lità civilistica ai sensi del Decreto del MEF</w:t>
      </w:r>
      <w:r>
        <w:rPr>
          <w:rFonts w:ascii="Century Gothic" w:hAnsi="Century Gothic"/>
          <w:sz w:val="22"/>
        </w:rPr>
        <w:t xml:space="preserve"> del 27.03.2013, </w:t>
      </w:r>
      <w:r w:rsidR="00A56DA5">
        <w:rPr>
          <w:rFonts w:ascii="Century Gothic" w:hAnsi="Century Gothic"/>
          <w:sz w:val="22"/>
        </w:rPr>
        <w:t xml:space="preserve">in attuazione delle norme di cui al d.lgs. n. 91/2011 in tema di armonizzazione dei sistemi contabili degli enti pubblici, </w:t>
      </w:r>
      <w:r>
        <w:rPr>
          <w:rFonts w:ascii="Century Gothic" w:hAnsi="Century Gothic"/>
          <w:sz w:val="22"/>
        </w:rPr>
        <w:t xml:space="preserve">al budget annuale si </w:t>
      </w:r>
      <w:r w:rsidR="00A56DA5">
        <w:rPr>
          <w:rFonts w:ascii="Century Gothic" w:hAnsi="Century Gothic"/>
          <w:sz w:val="22"/>
        </w:rPr>
        <w:t xml:space="preserve">allegano anche </w:t>
      </w:r>
      <w:r>
        <w:rPr>
          <w:rFonts w:ascii="Century Gothic" w:hAnsi="Century Gothic"/>
          <w:sz w:val="22"/>
        </w:rPr>
        <w:t xml:space="preserve"> i seguenti documenti:</w:t>
      </w:r>
    </w:p>
    <w:p w:rsidR="009D7638" w:rsidRDefault="009D7638">
      <w:pPr>
        <w:jc w:val="both"/>
        <w:rPr>
          <w:rFonts w:ascii="Century Gothic" w:hAnsi="Century Gothic"/>
          <w:sz w:val="22"/>
        </w:rPr>
      </w:pPr>
    </w:p>
    <w:p w:rsidR="009D7638" w:rsidRDefault="009D7638" w:rsidP="009D7638">
      <w:pPr>
        <w:numPr>
          <w:ilvl w:val="0"/>
          <w:numId w:val="11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Budget economico</w:t>
      </w:r>
      <w:r w:rsidR="00A56DA5">
        <w:rPr>
          <w:rFonts w:ascii="Century Gothic" w:hAnsi="Century Gothic"/>
          <w:sz w:val="22"/>
        </w:rPr>
        <w:t xml:space="preserve"> annuale</w:t>
      </w:r>
      <w:r>
        <w:rPr>
          <w:rFonts w:ascii="Century Gothic" w:hAnsi="Century Gothic"/>
          <w:sz w:val="22"/>
        </w:rPr>
        <w:t xml:space="preserve"> riclassificato</w:t>
      </w:r>
      <w:r w:rsidR="00A56DA5">
        <w:rPr>
          <w:rFonts w:ascii="Century Gothic" w:hAnsi="Century Gothic"/>
          <w:sz w:val="22"/>
        </w:rPr>
        <w:t xml:space="preserve"> secondo lo schema di cui al D.M. 27 marzo 2013</w:t>
      </w:r>
    </w:p>
    <w:p w:rsidR="009D7638" w:rsidRDefault="009D7638" w:rsidP="009D7638">
      <w:pPr>
        <w:numPr>
          <w:ilvl w:val="0"/>
          <w:numId w:val="11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Budget economico pluriennale</w:t>
      </w:r>
      <w:r w:rsidR="009F3845">
        <w:rPr>
          <w:rFonts w:ascii="Century Gothic" w:hAnsi="Century Gothic"/>
          <w:sz w:val="22"/>
        </w:rPr>
        <w:t xml:space="preserve"> per il triennio 2016-2018</w:t>
      </w:r>
    </w:p>
    <w:p w:rsidR="00A56DA5" w:rsidRDefault="00A56DA5" w:rsidP="00A56DA5">
      <w:pPr>
        <w:numPr>
          <w:ilvl w:val="0"/>
          <w:numId w:val="11"/>
        </w:numPr>
        <w:autoSpaceDE w:val="0"/>
        <w:autoSpaceDN w:val="0"/>
        <w:adjustRightInd w:val="0"/>
        <w:rPr>
          <w:rFonts w:ascii="TTE24B1348t00" w:hAnsi="TTE24B1348t00" w:cs="TTE24B1348t00"/>
          <w:color w:val="000000"/>
          <w:sz w:val="22"/>
          <w:szCs w:val="22"/>
        </w:rPr>
      </w:pPr>
      <w:r w:rsidRPr="00A56DA5">
        <w:rPr>
          <w:rFonts w:ascii="Century Gothic" w:hAnsi="Century Gothic"/>
          <w:sz w:val="22"/>
        </w:rPr>
        <w:t>Piano degli indicatori e dei risultati attesi di bilanci</w:t>
      </w:r>
      <w:r w:rsidRPr="00A56DA5">
        <w:rPr>
          <w:rFonts w:ascii="TTE24B1348t00" w:hAnsi="TTE24B1348t00" w:cs="TTE24B1348t00"/>
          <w:color w:val="000000"/>
          <w:sz w:val="22"/>
          <w:szCs w:val="22"/>
        </w:rPr>
        <w:t xml:space="preserve">o </w:t>
      </w:r>
    </w:p>
    <w:p w:rsidR="009D7638" w:rsidRPr="00A56DA5" w:rsidRDefault="009D7638" w:rsidP="002B2F4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</w:rPr>
      </w:pPr>
      <w:r w:rsidRPr="00A56DA5">
        <w:rPr>
          <w:rFonts w:ascii="Century Gothic" w:hAnsi="Century Gothic"/>
          <w:sz w:val="22"/>
        </w:rPr>
        <w:t xml:space="preserve">Prospetto delle previsioni di spesa  complessiva per missioni e programmi, che </w:t>
      </w:r>
      <w:r w:rsidR="00A56DA5" w:rsidRPr="00A56DA5">
        <w:rPr>
          <w:rFonts w:ascii="Century Gothic" w:hAnsi="Century Gothic"/>
          <w:sz w:val="22"/>
          <w:u w:val="single"/>
        </w:rPr>
        <w:t>non viene predisposto</w:t>
      </w:r>
      <w:r w:rsidR="00A56DA5">
        <w:rPr>
          <w:rFonts w:ascii="Century Gothic" w:hAnsi="Century Gothic"/>
          <w:sz w:val="22"/>
        </w:rPr>
        <w:t xml:space="preserve"> in quanto l’Ente non rientra tra quelli tenuti alle rilevazioni di cassa tramite il sistema Siope.</w:t>
      </w:r>
    </w:p>
    <w:p w:rsidR="006D5AB2" w:rsidRDefault="006D5AB2" w:rsidP="006D5AB2">
      <w:pPr>
        <w:autoSpaceDE w:val="0"/>
        <w:autoSpaceDN w:val="0"/>
        <w:adjustRightInd w:val="0"/>
        <w:ind w:left="360"/>
        <w:rPr>
          <w:rFonts w:ascii="TTE24B1348t00" w:hAnsi="TTE24B1348t00" w:cs="TTE24B1348t00"/>
          <w:color w:val="000000"/>
          <w:sz w:val="22"/>
          <w:szCs w:val="22"/>
        </w:rPr>
      </w:pPr>
    </w:p>
    <w:p w:rsidR="009121E2" w:rsidRDefault="009121E2" w:rsidP="00A56DA5">
      <w:pPr>
        <w:ind w:firstLine="709"/>
        <w:jc w:val="both"/>
        <w:rPr>
          <w:rFonts w:ascii="Century Gothic" w:hAnsi="Century Gothic"/>
          <w:sz w:val="22"/>
        </w:rPr>
      </w:pPr>
    </w:p>
    <w:p w:rsidR="00B82504" w:rsidRDefault="00B82504" w:rsidP="00B82504">
      <w:pPr>
        <w:ind w:firstLine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L’Automobile Club Rieti, con delibera presidenziale n.5 del 20.12.2013 poi ratificata dal Cd con delibera n.1 del 04/03/2014, ha adottato  il “</w:t>
      </w:r>
      <w:r w:rsidRPr="00B82504">
        <w:rPr>
          <w:rFonts w:ascii="Century Gothic" w:hAnsi="Century Gothic"/>
          <w:sz w:val="22"/>
          <w:u w:val="single"/>
        </w:rPr>
        <w:t>Regolamento per l’adeguamento ai principi generali di razionalizzazione e contenimento della spesa”</w:t>
      </w:r>
      <w:r>
        <w:rPr>
          <w:rFonts w:ascii="Century Gothic" w:hAnsi="Century Gothic"/>
          <w:sz w:val="22"/>
        </w:rPr>
        <w:t xml:space="preserve"> redatto ai sensi dell’art.2 comma 2 bis DL 101/2013 convertito in legge n.125/2013,  in cui sono stati introdotti limiti di spesa che, </w:t>
      </w:r>
      <w:r w:rsidR="00F51F32">
        <w:rPr>
          <w:rFonts w:ascii="Century Gothic" w:hAnsi="Century Gothic"/>
          <w:sz w:val="22"/>
        </w:rPr>
        <w:t>nella predisposizione del Budget economico 201</w:t>
      </w:r>
      <w:r w:rsidR="009F3845">
        <w:rPr>
          <w:rFonts w:ascii="Century Gothic" w:hAnsi="Century Gothic"/>
          <w:sz w:val="22"/>
        </w:rPr>
        <w:t>6</w:t>
      </w:r>
      <w:r w:rsidR="00F51F32">
        <w:rPr>
          <w:rFonts w:ascii="Century Gothic" w:hAnsi="Century Gothic"/>
          <w:sz w:val="22"/>
        </w:rPr>
        <w:t xml:space="preserve">, </w:t>
      </w:r>
      <w:r>
        <w:rPr>
          <w:rFonts w:ascii="Century Gothic" w:hAnsi="Century Gothic"/>
          <w:sz w:val="22"/>
        </w:rPr>
        <w:t xml:space="preserve">vengono rispettati: </w:t>
      </w:r>
    </w:p>
    <w:p w:rsidR="00A56DA5" w:rsidRDefault="00A56DA5" w:rsidP="00A56DA5">
      <w:pPr>
        <w:ind w:firstLine="709"/>
        <w:jc w:val="both"/>
        <w:rPr>
          <w:rFonts w:ascii="Century Gothic" w:hAnsi="Century Gothic"/>
          <w:sz w:val="22"/>
        </w:rPr>
      </w:pPr>
    </w:p>
    <w:p w:rsidR="00A56DA5" w:rsidRDefault="00A56DA5" w:rsidP="00A56DA5">
      <w:pPr>
        <w:pStyle w:val="Paragrafoelenco"/>
        <w:numPr>
          <w:ilvl w:val="0"/>
          <w:numId w:val="13"/>
        </w:numPr>
        <w:contextualSpacing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Il Margine Operativo Lordo </w:t>
      </w:r>
      <w:r w:rsidR="009121E2">
        <w:rPr>
          <w:rFonts w:ascii="Century Gothic" w:hAnsi="Century Gothic"/>
          <w:sz w:val="22"/>
        </w:rPr>
        <w:t xml:space="preserve"> e pari ad € </w:t>
      </w:r>
      <w:r w:rsidR="001B622D" w:rsidRPr="001B622D">
        <w:rPr>
          <w:rFonts w:ascii="Century Gothic" w:hAnsi="Century Gothic"/>
          <w:sz w:val="22"/>
        </w:rPr>
        <w:t>30</w:t>
      </w:r>
      <w:r w:rsidR="009121E2" w:rsidRPr="001B622D">
        <w:rPr>
          <w:rFonts w:ascii="Century Gothic" w:hAnsi="Century Gothic"/>
          <w:sz w:val="22"/>
        </w:rPr>
        <w:t>.</w:t>
      </w:r>
      <w:r w:rsidR="001B622D" w:rsidRPr="001B622D">
        <w:rPr>
          <w:rFonts w:ascii="Century Gothic" w:hAnsi="Century Gothic"/>
          <w:sz w:val="22"/>
        </w:rPr>
        <w:t>6</w:t>
      </w:r>
      <w:r w:rsidR="009121E2" w:rsidRPr="001B622D">
        <w:rPr>
          <w:rFonts w:ascii="Century Gothic" w:hAnsi="Century Gothic"/>
          <w:sz w:val="22"/>
        </w:rPr>
        <w:t>00,00</w:t>
      </w:r>
      <w:r w:rsidR="009121E2">
        <w:rPr>
          <w:rFonts w:ascii="Century Gothic" w:hAnsi="Century Gothic"/>
          <w:sz w:val="22"/>
        </w:rPr>
        <w:t xml:space="preserve"> superiore a quanto</w:t>
      </w:r>
      <w:r>
        <w:rPr>
          <w:rFonts w:ascii="Century Gothic" w:hAnsi="Century Gothic"/>
          <w:sz w:val="22"/>
        </w:rPr>
        <w:t xml:space="preserve"> stabilito dall’art.4  </w:t>
      </w:r>
      <w:r w:rsidR="009121E2">
        <w:rPr>
          <w:rFonts w:ascii="Century Gothic" w:hAnsi="Century Gothic"/>
          <w:sz w:val="22"/>
        </w:rPr>
        <w:t>del regolamento.</w:t>
      </w:r>
    </w:p>
    <w:p w:rsidR="00A56DA5" w:rsidRDefault="00A56DA5" w:rsidP="00A56DA5">
      <w:pPr>
        <w:ind w:left="709"/>
        <w:jc w:val="both"/>
        <w:rPr>
          <w:rFonts w:ascii="Century Gothic" w:hAnsi="Century Gothic"/>
          <w:sz w:val="22"/>
        </w:rPr>
      </w:pPr>
    </w:p>
    <w:p w:rsidR="00A56DA5" w:rsidRDefault="00A56DA5" w:rsidP="00A56DA5">
      <w:pPr>
        <w:pStyle w:val="Paragrafoelenco"/>
        <w:numPr>
          <w:ilvl w:val="0"/>
          <w:numId w:val="13"/>
        </w:numPr>
        <w:contextualSpacing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Il totale delle previsione dei costi  classificati nelle </w:t>
      </w:r>
      <w:r w:rsidR="009121E2">
        <w:rPr>
          <w:rFonts w:ascii="Century Gothic" w:hAnsi="Century Gothic"/>
          <w:sz w:val="22"/>
        </w:rPr>
        <w:t xml:space="preserve">voci B6, B7 e B8 è pari ad </w:t>
      </w:r>
      <w:r w:rsidR="003E06FF">
        <w:rPr>
          <w:rFonts w:ascii="Century Gothic" w:hAnsi="Century Gothic"/>
          <w:sz w:val="22"/>
        </w:rPr>
        <w:t>€ 233.8</w:t>
      </w:r>
      <w:r w:rsidR="00AB0FCA" w:rsidRPr="00AB0FCA">
        <w:rPr>
          <w:rFonts w:ascii="Century Gothic" w:hAnsi="Century Gothic"/>
          <w:sz w:val="22"/>
        </w:rPr>
        <w:t>00,00 di cui 21.8</w:t>
      </w:r>
      <w:r w:rsidRPr="00AB0FCA">
        <w:rPr>
          <w:rFonts w:ascii="Century Gothic" w:hAnsi="Century Gothic"/>
          <w:sz w:val="22"/>
        </w:rPr>
        <w:t>00,00 non</w:t>
      </w:r>
      <w:r>
        <w:rPr>
          <w:rFonts w:ascii="Century Gothic" w:hAnsi="Century Gothic"/>
          <w:sz w:val="22"/>
        </w:rPr>
        <w:t xml:space="preserve"> sono riconducibili alla produzione di beni ed alla prestazione di servizi, </w:t>
      </w:r>
      <w:r w:rsidR="00A30EFD">
        <w:rPr>
          <w:rFonts w:ascii="Century Gothic" w:hAnsi="Century Gothic"/>
          <w:sz w:val="22"/>
        </w:rPr>
        <w:t xml:space="preserve">questi ultimi subiscono una </w:t>
      </w:r>
      <w:r>
        <w:rPr>
          <w:rFonts w:ascii="Century Gothic" w:hAnsi="Century Gothic"/>
          <w:sz w:val="22"/>
        </w:rPr>
        <w:t xml:space="preserve"> riduzione di €</w:t>
      </w:r>
      <w:r w:rsidR="00AB0FCA">
        <w:rPr>
          <w:rFonts w:ascii="Century Gothic" w:hAnsi="Century Gothic"/>
          <w:sz w:val="22"/>
        </w:rPr>
        <w:t xml:space="preserve"> 25.045,72</w:t>
      </w:r>
      <w:r w:rsidR="009121E2">
        <w:rPr>
          <w:rFonts w:ascii="Century Gothic" w:hAnsi="Century Gothic"/>
          <w:sz w:val="22"/>
        </w:rPr>
        <w:t xml:space="preserve">   rispetto al 2010 </w:t>
      </w:r>
      <w:r>
        <w:rPr>
          <w:rFonts w:ascii="Century Gothic" w:hAnsi="Century Gothic"/>
          <w:sz w:val="22"/>
        </w:rPr>
        <w:t>superiore al 10% previsto dall’art. 5 del Regolamento;</w:t>
      </w:r>
    </w:p>
    <w:p w:rsidR="0085389F" w:rsidRDefault="0085389F" w:rsidP="0085389F">
      <w:pPr>
        <w:pStyle w:val="Paragrafoelenco"/>
        <w:ind w:left="927"/>
        <w:contextualSpacing/>
        <w:jc w:val="both"/>
        <w:rPr>
          <w:rFonts w:ascii="Century Gothic" w:hAnsi="Century Gothic"/>
          <w:sz w:val="22"/>
        </w:rPr>
      </w:pPr>
    </w:p>
    <w:p w:rsidR="00A56DA5" w:rsidRDefault="00A56DA5" w:rsidP="00A56DA5">
      <w:pPr>
        <w:pStyle w:val="Paragrafoelenco"/>
        <w:numPr>
          <w:ilvl w:val="0"/>
          <w:numId w:val="13"/>
        </w:numPr>
        <w:contextualSpacing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Le spese relative a studi e consulenze, mostre, convegni e rappresentanza, nonché quelle per l’acquisto noleggio e impiego di autovetture, le spese per missioni o trasferte e le spese per la formazione del personale, sono ridotte, rispetto al 2010 di una percentuale superiore al 50% (art.6 comma 1)</w:t>
      </w:r>
    </w:p>
    <w:p w:rsidR="0085389F" w:rsidRPr="0085389F" w:rsidRDefault="0085389F" w:rsidP="0085389F">
      <w:pPr>
        <w:pStyle w:val="Paragrafoelenco"/>
        <w:rPr>
          <w:rFonts w:ascii="Century Gothic" w:hAnsi="Century Gothic"/>
          <w:sz w:val="22"/>
        </w:rPr>
      </w:pPr>
    </w:p>
    <w:p w:rsidR="00A56DA5" w:rsidRDefault="00A56DA5" w:rsidP="00A56DA5">
      <w:pPr>
        <w:pStyle w:val="Paragrafoelenco"/>
        <w:numPr>
          <w:ilvl w:val="0"/>
          <w:numId w:val="13"/>
        </w:numPr>
        <w:contextualSpacing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Le spese per manifestazione sportiva per avendo avuto un incremento rispetto al 2010 sono completamente coperte dai  ricavi derivanti dai contributi da parte di Enti, dall</w:t>
      </w:r>
      <w:r w:rsidR="00EC2601">
        <w:rPr>
          <w:rFonts w:ascii="Century Gothic" w:hAnsi="Century Gothic"/>
          <w:sz w:val="22"/>
        </w:rPr>
        <w:t>e  iscrizioni e dalle entrate della lotteria e de</w:t>
      </w:r>
      <w:r>
        <w:rPr>
          <w:rFonts w:ascii="Century Gothic" w:hAnsi="Century Gothic"/>
          <w:sz w:val="22"/>
        </w:rPr>
        <w:t>i contributi volontari).</w:t>
      </w:r>
    </w:p>
    <w:p w:rsidR="00A56DA5" w:rsidRDefault="00A56DA5" w:rsidP="00A56DA5">
      <w:pPr>
        <w:pStyle w:val="Paragrafoelenco"/>
        <w:rPr>
          <w:rFonts w:ascii="Century Gothic" w:hAnsi="Century Gothic"/>
          <w:sz w:val="22"/>
        </w:rPr>
      </w:pPr>
    </w:p>
    <w:p w:rsidR="00A56DA5" w:rsidRDefault="00A56DA5" w:rsidP="00A56DA5">
      <w:pPr>
        <w:pStyle w:val="Paragrafoelenco"/>
        <w:numPr>
          <w:ilvl w:val="0"/>
          <w:numId w:val="13"/>
        </w:numPr>
        <w:contextualSpacing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Non sono previste spese per erogazioni di contributi.</w:t>
      </w:r>
    </w:p>
    <w:p w:rsidR="00A56DA5" w:rsidRDefault="00A56DA5" w:rsidP="00A56DA5">
      <w:pPr>
        <w:pStyle w:val="Paragrafoelenco"/>
        <w:ind w:left="1778"/>
        <w:jc w:val="both"/>
        <w:rPr>
          <w:rFonts w:ascii="Century Gothic" w:hAnsi="Century Gothic"/>
          <w:sz w:val="22"/>
        </w:rPr>
      </w:pPr>
    </w:p>
    <w:p w:rsidR="00A56DA5" w:rsidRDefault="00A56DA5" w:rsidP="00A56DA5">
      <w:pPr>
        <w:pStyle w:val="Paragrafoelenco"/>
        <w:numPr>
          <w:ilvl w:val="0"/>
          <w:numId w:val="13"/>
        </w:numPr>
        <w:contextualSpacing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La riduzione delle spese per il personale  B9 è ben superiore al 10% delle spese sostenute nel 2010.</w:t>
      </w:r>
    </w:p>
    <w:p w:rsidR="00A56DA5" w:rsidRDefault="00A56DA5" w:rsidP="00A56DA5">
      <w:pPr>
        <w:pStyle w:val="Paragrafoelenco"/>
        <w:ind w:left="1778"/>
        <w:jc w:val="both"/>
        <w:rPr>
          <w:rFonts w:ascii="Century Gothic" w:hAnsi="Century Gothic"/>
          <w:sz w:val="22"/>
        </w:rPr>
      </w:pPr>
    </w:p>
    <w:p w:rsidR="00F51F32" w:rsidRDefault="00F51F32" w:rsidP="00A56DA5">
      <w:pPr>
        <w:pStyle w:val="Paragrafoelenco"/>
        <w:ind w:left="1778"/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BUDGET ECONOMICO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Dalla tabella che segue si evidenzia un u</w:t>
      </w:r>
      <w:r w:rsidR="009D7638">
        <w:rPr>
          <w:rFonts w:ascii="Century Gothic" w:hAnsi="Century Gothic"/>
          <w:sz w:val="22"/>
        </w:rPr>
        <w:t>tile d'esercizio per l'anno 201</w:t>
      </w:r>
      <w:r w:rsidR="001A6E3A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 xml:space="preserve"> pari a € 1</w:t>
      </w:r>
      <w:r w:rsidR="0085389F">
        <w:rPr>
          <w:rFonts w:ascii="Century Gothic" w:hAnsi="Century Gothic"/>
          <w:sz w:val="22"/>
        </w:rPr>
        <w:t>5</w:t>
      </w:r>
      <w:r>
        <w:rPr>
          <w:rFonts w:ascii="Century Gothic" w:hAnsi="Century Gothic"/>
          <w:sz w:val="22"/>
        </w:rPr>
        <w:t>.000,00.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 w:rsidP="00DD0E93">
      <w:pPr>
        <w:ind w:firstLine="709"/>
        <w:jc w:val="both"/>
        <w:rPr>
          <w:rFonts w:ascii="Century Gothic" w:hAnsi="Century Gothic"/>
          <w:caps/>
          <w:color w:val="FF0000"/>
          <w:sz w:val="22"/>
        </w:rPr>
      </w:pPr>
      <w:r>
        <w:rPr>
          <w:rFonts w:ascii="Century Gothic" w:hAnsi="Century Gothic"/>
          <w:sz w:val="22"/>
        </w:rPr>
        <w:t>Il risultato operativo</w:t>
      </w:r>
      <w:r w:rsidR="00975287">
        <w:rPr>
          <w:rFonts w:ascii="Century Gothic" w:hAnsi="Century Gothic"/>
          <w:sz w:val="22"/>
        </w:rPr>
        <w:t xml:space="preserve"> lordo della gestione caratteristica</w:t>
      </w:r>
      <w:r>
        <w:rPr>
          <w:rFonts w:ascii="Century Gothic" w:hAnsi="Century Gothic"/>
          <w:sz w:val="22"/>
        </w:rPr>
        <w:t xml:space="preserve">, determinato dalla differenza tra ricavi e costi </w:t>
      </w:r>
      <w:r w:rsidR="009D7638">
        <w:rPr>
          <w:rFonts w:ascii="Century Gothic" w:hAnsi="Century Gothic"/>
          <w:sz w:val="22"/>
        </w:rPr>
        <w:t xml:space="preserve">della produzione, è pari ad € </w:t>
      </w:r>
      <w:r w:rsidR="001A6E3A">
        <w:rPr>
          <w:rFonts w:ascii="Century Gothic" w:hAnsi="Century Gothic"/>
          <w:sz w:val="22"/>
        </w:rPr>
        <w:t>29.1</w:t>
      </w:r>
      <w:r w:rsidR="00975287">
        <w:rPr>
          <w:rFonts w:ascii="Century Gothic" w:hAnsi="Century Gothic"/>
          <w:sz w:val="22"/>
        </w:rPr>
        <w:t xml:space="preserve">00,00 con una </w:t>
      </w:r>
      <w:r w:rsidR="001A6E3A">
        <w:rPr>
          <w:rFonts w:ascii="Century Gothic" w:hAnsi="Century Gothic"/>
          <w:sz w:val="22"/>
        </w:rPr>
        <w:t>lieve riduzione rispetto al 2015</w:t>
      </w:r>
      <w:r w:rsidR="006D5AB2">
        <w:rPr>
          <w:rFonts w:ascii="Century Gothic" w:hAnsi="Century Gothic"/>
          <w:sz w:val="22"/>
        </w:rPr>
        <w:t>, mentr</w:t>
      </w:r>
      <w:r w:rsidR="00975287">
        <w:rPr>
          <w:rFonts w:ascii="Century Gothic" w:hAnsi="Century Gothic"/>
          <w:sz w:val="22"/>
        </w:rPr>
        <w:t>e</w:t>
      </w:r>
      <w:r w:rsidR="006D5AB2">
        <w:rPr>
          <w:rFonts w:ascii="Century Gothic" w:hAnsi="Century Gothic"/>
          <w:sz w:val="22"/>
        </w:rPr>
        <w:t xml:space="preserve"> il margine operativo Lordo dato dalla differenza</w:t>
      </w:r>
      <w:r w:rsidR="00975287">
        <w:rPr>
          <w:rFonts w:ascii="Century Gothic" w:hAnsi="Century Gothic"/>
          <w:sz w:val="22"/>
        </w:rPr>
        <w:t xml:space="preserve"> tra i ricavi e i costi della produzione al netto degli ammortamenti, delle svalutazioni e degli accantonamenti è</w:t>
      </w:r>
      <w:r w:rsidR="006D5AB2">
        <w:rPr>
          <w:rFonts w:ascii="Century Gothic" w:hAnsi="Century Gothic"/>
          <w:sz w:val="22"/>
        </w:rPr>
        <w:t xml:space="preserve"> pari </w:t>
      </w:r>
      <w:r w:rsidR="006D5AB2" w:rsidRPr="00975287">
        <w:rPr>
          <w:rFonts w:ascii="Century Gothic" w:hAnsi="Century Gothic"/>
          <w:sz w:val="22"/>
        </w:rPr>
        <w:t xml:space="preserve">a </w:t>
      </w:r>
      <w:r w:rsidR="00975287" w:rsidRPr="00975287">
        <w:rPr>
          <w:rFonts w:ascii="Century Gothic" w:hAnsi="Century Gothic"/>
          <w:caps/>
          <w:sz w:val="22"/>
        </w:rPr>
        <w:t>3</w:t>
      </w:r>
      <w:r w:rsidR="001A6E3A">
        <w:rPr>
          <w:rFonts w:ascii="Century Gothic" w:hAnsi="Century Gothic"/>
          <w:caps/>
          <w:sz w:val="22"/>
        </w:rPr>
        <w:t>0.6</w:t>
      </w:r>
      <w:r w:rsidR="00AC2596" w:rsidRPr="00975287">
        <w:rPr>
          <w:rFonts w:ascii="Century Gothic" w:hAnsi="Century Gothic"/>
          <w:caps/>
          <w:sz w:val="22"/>
        </w:rPr>
        <w:t xml:space="preserve">00,000 </w:t>
      </w:r>
      <w:r w:rsidR="00D4016D">
        <w:rPr>
          <w:rFonts w:ascii="Century Gothic" w:hAnsi="Century Gothic"/>
          <w:sz w:val="22"/>
        </w:rPr>
        <w:t xml:space="preserve"> ris</w:t>
      </w:r>
      <w:r w:rsidR="008F54A0">
        <w:rPr>
          <w:rFonts w:ascii="Century Gothic" w:hAnsi="Century Gothic"/>
          <w:sz w:val="22"/>
        </w:rPr>
        <w:t>pettando</w:t>
      </w:r>
      <w:r w:rsidR="00AC2596">
        <w:rPr>
          <w:rFonts w:ascii="Century Gothic" w:hAnsi="Century Gothic"/>
          <w:sz w:val="22"/>
        </w:rPr>
        <w:t xml:space="preserve"> quanto previsto dal Regolamento di contenimento </w:t>
      </w:r>
      <w:r w:rsidR="00D4016D">
        <w:rPr>
          <w:rFonts w:ascii="Century Gothic" w:hAnsi="Century Gothic"/>
          <w:sz w:val="22"/>
        </w:rPr>
        <w:t xml:space="preserve">e razionalizzazione </w:t>
      </w:r>
      <w:r w:rsidR="00AC2596">
        <w:rPr>
          <w:rFonts w:ascii="Century Gothic" w:hAnsi="Century Gothic"/>
          <w:sz w:val="22"/>
        </w:rPr>
        <w:t>della spesa</w:t>
      </w:r>
      <w:r w:rsidR="00D4016D">
        <w:rPr>
          <w:rFonts w:ascii="Century Gothic" w:hAnsi="Century Gothic"/>
          <w:sz w:val="22"/>
        </w:rPr>
        <w:t xml:space="preserve"> adottato dall’Ente</w:t>
      </w:r>
      <w:r w:rsidR="00AC2596">
        <w:rPr>
          <w:rFonts w:ascii="Century Gothic" w:hAnsi="Century Gothic"/>
          <w:sz w:val="22"/>
        </w:rPr>
        <w:t>.</w:t>
      </w:r>
    </w:p>
    <w:p w:rsidR="00AC2596" w:rsidRPr="00AC2596" w:rsidRDefault="00AC2596">
      <w:pPr>
        <w:jc w:val="both"/>
        <w:rPr>
          <w:rFonts w:ascii="Century Gothic" w:hAnsi="Century Gothic"/>
          <w:caps/>
          <w:color w:val="FF0000"/>
          <w:sz w:val="22"/>
        </w:rPr>
      </w:pPr>
    </w:p>
    <w:p w:rsidR="00AE47A9" w:rsidRDefault="00AE47A9">
      <w:pPr>
        <w:ind w:firstLine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Le previsio</w:t>
      </w:r>
      <w:r w:rsidR="009D7638">
        <w:rPr>
          <w:rFonts w:ascii="Century Gothic" w:hAnsi="Century Gothic"/>
          <w:sz w:val="22"/>
        </w:rPr>
        <w:t>ni per l’anno 201</w:t>
      </w:r>
      <w:r w:rsidR="001A6E3A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 xml:space="preserve"> sono state formulate sulla base dei dati desunti  dalle rilevazioni contabi</w:t>
      </w:r>
      <w:r w:rsidR="009D7638">
        <w:rPr>
          <w:rFonts w:ascii="Century Gothic" w:hAnsi="Century Gothic"/>
          <w:sz w:val="22"/>
        </w:rPr>
        <w:t>li  a tutto il 30 settembre 201</w:t>
      </w:r>
      <w:r w:rsidR="001A6E3A">
        <w:rPr>
          <w:rFonts w:ascii="Century Gothic" w:hAnsi="Century Gothic"/>
          <w:sz w:val="22"/>
        </w:rPr>
        <w:t>5</w:t>
      </w:r>
      <w:r w:rsidR="009D7638">
        <w:rPr>
          <w:rFonts w:ascii="Century Gothic" w:hAnsi="Century Gothic"/>
          <w:sz w:val="22"/>
        </w:rPr>
        <w:t>, nonché dal consuntivo 201</w:t>
      </w:r>
      <w:r w:rsidR="001A6E3A">
        <w:rPr>
          <w:rFonts w:ascii="Century Gothic" w:hAnsi="Century Gothic"/>
          <w:sz w:val="22"/>
        </w:rPr>
        <w:t>4</w:t>
      </w:r>
      <w:r>
        <w:rPr>
          <w:rFonts w:ascii="Century Gothic" w:hAnsi="Century Gothic"/>
          <w:sz w:val="22"/>
        </w:rPr>
        <w:t xml:space="preserve"> predisponendo un Budget ispirato, oltre ai principi di economicità ed efficienza, anche al principio della prudenza nella valutazione delle reali risorse dell'Ente  e nel rispetto dell'equilibrio tra costi e ricavi.</w:t>
      </w:r>
    </w:p>
    <w:p w:rsidR="00AE47A9" w:rsidRDefault="00AE47A9">
      <w:pPr>
        <w:ind w:firstLine="709"/>
        <w:jc w:val="both"/>
        <w:rPr>
          <w:rFonts w:ascii="Century Gothic" w:hAnsi="Century Gothic"/>
          <w:sz w:val="22"/>
        </w:rPr>
      </w:pPr>
    </w:p>
    <w:p w:rsidR="00AE47A9" w:rsidRDefault="00AE47A9">
      <w:pPr>
        <w:ind w:firstLine="709"/>
        <w:jc w:val="both"/>
        <w:rPr>
          <w:rFonts w:ascii="Century Gothic" w:hAnsi="Century Gothic"/>
          <w:sz w:val="22"/>
        </w:rPr>
      </w:pPr>
    </w:p>
    <w:p w:rsidR="00F51F32" w:rsidRDefault="00F51F32">
      <w:pPr>
        <w:ind w:firstLine="709"/>
        <w:jc w:val="both"/>
        <w:rPr>
          <w:rFonts w:ascii="Century Gothic" w:hAnsi="Century Gothic"/>
          <w:sz w:val="22"/>
        </w:rPr>
      </w:pPr>
    </w:p>
    <w:p w:rsidR="00AE47A9" w:rsidRDefault="00AE47A9">
      <w:pPr>
        <w:ind w:firstLine="709"/>
        <w:jc w:val="both"/>
        <w:rPr>
          <w:rFonts w:ascii="Century Gothic" w:hAnsi="Century Gothic"/>
          <w:sz w:val="22"/>
        </w:rPr>
      </w:pPr>
      <w:r>
        <w:rPr>
          <w:rFonts w:ascii="Verdana" w:hAnsi="Verdana"/>
          <w:sz w:val="22"/>
        </w:rPr>
        <w:lastRenderedPageBreak/>
        <w:t>Tab.1</w:t>
      </w:r>
    </w:p>
    <w:bookmarkStart w:id="0" w:name="_MON_1476012415"/>
    <w:bookmarkEnd w:id="0"/>
    <w:p w:rsidR="00AE47A9" w:rsidRDefault="008F1D50">
      <w:pPr>
        <w:tabs>
          <w:tab w:val="left" w:pos="5387"/>
        </w:tabs>
        <w:rPr>
          <w:rFonts w:ascii="Verdana" w:hAnsi="Verdana"/>
          <w:sz w:val="22"/>
        </w:rPr>
      </w:pPr>
      <w:r w:rsidRPr="009D11ED">
        <w:rPr>
          <w:rFonts w:ascii="Verdana" w:hAnsi="Verdana"/>
          <w:sz w:val="22"/>
        </w:rPr>
        <w:object w:dxaOrig="9730" w:dyaOrig="12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35pt;height:634.4pt" o:ole="" fillcolor="window">
            <v:imagedata r:id="rId9" o:title=""/>
          </v:shape>
          <o:OLEObject Type="Embed" ProgID="Excel.Sheet.12" ShapeID="_x0000_i1025" DrawAspect="Content" ObjectID="_1508312787" r:id="rId10"/>
        </w:object>
      </w:r>
    </w:p>
    <w:p w:rsidR="00AE47A9" w:rsidRDefault="00AE47A9">
      <w:pPr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8F1D50" w:rsidRDefault="008F1D50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Andiamo ora ad analizzare i valori riportati in Tab. 1.</w: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  <w:u w:val="single"/>
        </w:rPr>
      </w:pPr>
      <w:r>
        <w:rPr>
          <w:rFonts w:ascii="Century Gothic" w:hAnsi="Century Gothic"/>
          <w:b/>
          <w:i/>
          <w:sz w:val="22"/>
          <w:u w:val="single"/>
        </w:rPr>
        <w:t>A- VALORE DELLA PRODUZIONE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1) Ricavi delle vendite e delle prestazioni.</w:t>
      </w:r>
    </w:p>
    <w:p w:rsidR="00AE47A9" w:rsidRDefault="00AE47A9">
      <w:pPr>
        <w:jc w:val="both"/>
        <w:rPr>
          <w:rFonts w:ascii="Century Gothic" w:hAnsi="Century Gothic"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All’interno di questa voce troviamo tutte le entrate derivanti da vendite e prestazioni di servizi che conseguono alla gestione caratteristica dell’Ente, tra le entrate  più significative si evidenziano:  quote sociali, proventi per manifestazioni sportive e proventi per riscossione tasse di circolazione.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3E06FF">
      <w:pPr>
        <w:jc w:val="both"/>
        <w:rPr>
          <w:rFonts w:ascii="Century Gothic" w:hAnsi="Century Gothic"/>
          <w:sz w:val="22"/>
        </w:rPr>
      </w:pPr>
      <w:r w:rsidRPr="009D11ED">
        <w:rPr>
          <w:rFonts w:ascii="Century Gothic" w:hAnsi="Century Gothic"/>
          <w:sz w:val="22"/>
        </w:rPr>
        <w:object w:dxaOrig="9143" w:dyaOrig="1718">
          <v:shape id="_x0000_i1026" type="#_x0000_t75" style="width:457.15pt;height:85.6pt" o:ole="" fillcolor="window">
            <v:imagedata r:id="rId11" o:title=""/>
          </v:shape>
          <o:OLEObject Type="Embed" ProgID="Excel.Sheet.8" ShapeID="_x0000_i1026" DrawAspect="Content" ObjectID="_1508312788" r:id="rId12"/>
        </w:object>
      </w:r>
    </w:p>
    <w:p w:rsidR="00963084" w:rsidRDefault="00AE47A9" w:rsidP="000A7663">
      <w:pPr>
        <w:numPr>
          <w:ilvl w:val="0"/>
          <w:numId w:val="9"/>
        </w:numPr>
        <w:jc w:val="both"/>
        <w:rPr>
          <w:rFonts w:ascii="Century Gothic" w:hAnsi="Century Gothic"/>
          <w:sz w:val="22"/>
        </w:rPr>
      </w:pPr>
      <w:r w:rsidRPr="00963084">
        <w:rPr>
          <w:rFonts w:ascii="Century Gothic" w:hAnsi="Century Gothic"/>
          <w:sz w:val="22"/>
        </w:rPr>
        <w:t xml:space="preserve">Lo stanziamento dei ricavi per quote sociali </w:t>
      </w:r>
      <w:r w:rsidR="003E06FF" w:rsidRPr="00963084">
        <w:rPr>
          <w:rFonts w:ascii="Century Gothic" w:hAnsi="Century Gothic"/>
          <w:sz w:val="22"/>
        </w:rPr>
        <w:t xml:space="preserve">non </w:t>
      </w:r>
      <w:r w:rsidR="001A6E3A" w:rsidRPr="00963084">
        <w:rPr>
          <w:rFonts w:ascii="Century Gothic" w:hAnsi="Century Gothic"/>
          <w:sz w:val="22"/>
        </w:rPr>
        <w:t xml:space="preserve">subisce </w:t>
      </w:r>
      <w:r w:rsidR="003E06FF" w:rsidRPr="00963084">
        <w:rPr>
          <w:rFonts w:ascii="Century Gothic" w:hAnsi="Century Gothic"/>
          <w:sz w:val="22"/>
        </w:rPr>
        <w:t>variazioni ri</w:t>
      </w:r>
      <w:r w:rsidRPr="00963084">
        <w:rPr>
          <w:rFonts w:ascii="Century Gothic" w:hAnsi="Century Gothic"/>
          <w:sz w:val="22"/>
        </w:rPr>
        <w:t>spetto al 201</w:t>
      </w:r>
      <w:r w:rsidR="001A6E3A" w:rsidRPr="00963084">
        <w:rPr>
          <w:rFonts w:ascii="Century Gothic" w:hAnsi="Century Gothic"/>
          <w:sz w:val="22"/>
        </w:rPr>
        <w:t>5</w:t>
      </w:r>
      <w:r w:rsidRPr="00963084">
        <w:rPr>
          <w:rFonts w:ascii="Century Gothic" w:hAnsi="Century Gothic"/>
          <w:sz w:val="22"/>
        </w:rPr>
        <w:t>,</w:t>
      </w:r>
      <w:r w:rsidR="003E06FF" w:rsidRPr="00963084">
        <w:rPr>
          <w:rFonts w:ascii="Century Gothic" w:hAnsi="Century Gothic"/>
          <w:sz w:val="22"/>
        </w:rPr>
        <w:t xml:space="preserve"> </w:t>
      </w:r>
      <w:r w:rsidRPr="00963084">
        <w:rPr>
          <w:rFonts w:ascii="Century Gothic" w:hAnsi="Century Gothic"/>
          <w:sz w:val="22"/>
        </w:rPr>
        <w:t xml:space="preserve"> in quanto</w:t>
      </w:r>
      <w:r w:rsidR="00343EF2" w:rsidRPr="00963084">
        <w:rPr>
          <w:rFonts w:ascii="Century Gothic" w:hAnsi="Century Gothic"/>
          <w:sz w:val="22"/>
        </w:rPr>
        <w:t xml:space="preserve">, </w:t>
      </w:r>
      <w:r w:rsidR="00CD5998" w:rsidRPr="00963084">
        <w:rPr>
          <w:rFonts w:ascii="Century Gothic" w:hAnsi="Century Gothic"/>
          <w:sz w:val="22"/>
        </w:rPr>
        <w:t xml:space="preserve">la </w:t>
      </w:r>
      <w:r w:rsidR="00364271">
        <w:rPr>
          <w:rFonts w:ascii="Century Gothic" w:hAnsi="Century Gothic"/>
          <w:sz w:val="22"/>
        </w:rPr>
        <w:t>previsione di un decremento d</w:t>
      </w:r>
      <w:r w:rsidR="00963084">
        <w:rPr>
          <w:rFonts w:ascii="Century Gothic" w:hAnsi="Century Gothic"/>
          <w:sz w:val="22"/>
        </w:rPr>
        <w:t>el parco associativo</w:t>
      </w:r>
      <w:r w:rsidR="00CD5998" w:rsidRPr="00963084">
        <w:rPr>
          <w:rFonts w:ascii="Century Gothic" w:hAnsi="Century Gothic"/>
          <w:sz w:val="22"/>
        </w:rPr>
        <w:t xml:space="preserve"> </w:t>
      </w:r>
      <w:r w:rsidR="00364271">
        <w:rPr>
          <w:rFonts w:ascii="Century Gothic" w:hAnsi="Century Gothic"/>
          <w:sz w:val="22"/>
        </w:rPr>
        <w:t>a causa</w:t>
      </w:r>
      <w:r w:rsidR="00963084">
        <w:rPr>
          <w:rFonts w:ascii="Century Gothic" w:hAnsi="Century Gothic"/>
          <w:sz w:val="22"/>
        </w:rPr>
        <w:t xml:space="preserve"> d</w:t>
      </w:r>
      <w:r w:rsidR="00364271">
        <w:rPr>
          <w:rFonts w:ascii="Century Gothic" w:hAnsi="Century Gothic"/>
          <w:sz w:val="22"/>
        </w:rPr>
        <w:t>e</w:t>
      </w:r>
      <w:r w:rsidR="00CD5998" w:rsidRPr="00963084">
        <w:rPr>
          <w:rFonts w:ascii="Century Gothic" w:hAnsi="Century Gothic"/>
          <w:sz w:val="22"/>
        </w:rPr>
        <w:t>lla chiusura di due delegazioni verrà contrastata dalla probabile riapertura della delegazione di Osteria Nuova  e dagli effetti positivi di una importante convenzione con l’</w:t>
      </w:r>
      <w:r w:rsidR="00963084">
        <w:rPr>
          <w:rFonts w:ascii="Century Gothic" w:hAnsi="Century Gothic"/>
          <w:sz w:val="22"/>
        </w:rPr>
        <w:t xml:space="preserve">Avis provinciale che consta </w:t>
      </w:r>
      <w:r w:rsidR="00CD5998" w:rsidRPr="00963084">
        <w:rPr>
          <w:rFonts w:ascii="Century Gothic" w:hAnsi="Century Gothic"/>
          <w:sz w:val="22"/>
        </w:rPr>
        <w:t xml:space="preserve"> più di 2000 </w:t>
      </w:r>
      <w:r w:rsidR="00364271">
        <w:rPr>
          <w:rFonts w:ascii="Century Gothic" w:hAnsi="Century Gothic"/>
          <w:sz w:val="22"/>
        </w:rPr>
        <w:t>associ</w:t>
      </w:r>
      <w:r w:rsidR="00CD5998" w:rsidRPr="00963084">
        <w:rPr>
          <w:rFonts w:ascii="Century Gothic" w:hAnsi="Century Gothic"/>
          <w:sz w:val="22"/>
        </w:rPr>
        <w:t>ati.</w:t>
      </w:r>
    </w:p>
    <w:p w:rsidR="00343EF2" w:rsidRPr="00343EF2" w:rsidRDefault="00963084" w:rsidP="00963084">
      <w:pPr>
        <w:ind w:left="360"/>
        <w:jc w:val="both"/>
        <w:rPr>
          <w:rFonts w:ascii="Century Gothic" w:hAnsi="Century Gothic"/>
          <w:sz w:val="22"/>
        </w:rPr>
      </w:pPr>
      <w:r w:rsidRPr="00963084">
        <w:rPr>
          <w:rFonts w:ascii="Century Gothic" w:hAnsi="Century Gothic"/>
          <w:sz w:val="22"/>
        </w:rPr>
        <w:t xml:space="preserve"> </w:t>
      </w:r>
    </w:p>
    <w:p w:rsidR="00AE47A9" w:rsidRDefault="008B35FF">
      <w:pPr>
        <w:numPr>
          <w:ilvl w:val="0"/>
          <w:numId w:val="9"/>
        </w:numPr>
        <w:jc w:val="both"/>
        <w:rPr>
          <w:rFonts w:ascii="Century Gothic" w:hAnsi="Century Gothic"/>
          <w:sz w:val="22"/>
        </w:rPr>
      </w:pPr>
      <w:r w:rsidRPr="000A7663">
        <w:rPr>
          <w:rFonts w:ascii="Century Gothic" w:hAnsi="Century Gothic"/>
          <w:sz w:val="22"/>
        </w:rPr>
        <w:t>I proventi per manifestazione sportiva ris</w:t>
      </w:r>
      <w:r w:rsidR="00FC2669">
        <w:rPr>
          <w:rFonts w:ascii="Century Gothic" w:hAnsi="Century Gothic"/>
          <w:sz w:val="22"/>
        </w:rPr>
        <w:t>pecchiano la previsione del 2015</w:t>
      </w:r>
      <w:r w:rsidRPr="000A7663">
        <w:rPr>
          <w:rFonts w:ascii="Century Gothic" w:hAnsi="Century Gothic"/>
          <w:sz w:val="22"/>
        </w:rPr>
        <w:t xml:space="preserve"> pari a € 70.000,00 </w:t>
      </w:r>
      <w:r w:rsidR="00C64EF5" w:rsidRPr="000A7663">
        <w:rPr>
          <w:rFonts w:ascii="Century Gothic" w:hAnsi="Century Gothic"/>
          <w:sz w:val="22"/>
        </w:rPr>
        <w:t xml:space="preserve">in quanto si </w:t>
      </w:r>
      <w:r w:rsidRPr="000A7663">
        <w:rPr>
          <w:rFonts w:ascii="Century Gothic" w:hAnsi="Century Gothic"/>
          <w:sz w:val="22"/>
        </w:rPr>
        <w:t>basan</w:t>
      </w:r>
      <w:r w:rsidR="00C64EF5" w:rsidRPr="000A7663">
        <w:rPr>
          <w:rFonts w:ascii="Century Gothic" w:hAnsi="Century Gothic"/>
          <w:sz w:val="22"/>
        </w:rPr>
        <w:t>o</w:t>
      </w:r>
      <w:r w:rsidRPr="000A7663">
        <w:rPr>
          <w:rFonts w:ascii="Century Gothic" w:hAnsi="Century Gothic"/>
          <w:sz w:val="22"/>
        </w:rPr>
        <w:t xml:space="preserve">  su una </w:t>
      </w:r>
      <w:r w:rsidR="00AE47A9" w:rsidRPr="000A7663">
        <w:rPr>
          <w:rFonts w:ascii="Century Gothic" w:hAnsi="Century Gothic"/>
          <w:sz w:val="22"/>
        </w:rPr>
        <w:t xml:space="preserve"> previsione</w:t>
      </w:r>
      <w:r w:rsidR="00C463B6" w:rsidRPr="000A7663">
        <w:rPr>
          <w:rFonts w:ascii="Century Gothic" w:hAnsi="Century Gothic"/>
          <w:sz w:val="22"/>
        </w:rPr>
        <w:t xml:space="preserve"> prudente del numero</w:t>
      </w:r>
      <w:r w:rsidR="00AE47A9" w:rsidRPr="000A7663">
        <w:rPr>
          <w:rFonts w:ascii="Century Gothic" w:hAnsi="Century Gothic"/>
          <w:sz w:val="22"/>
        </w:rPr>
        <w:t xml:space="preserve"> delle iscrizioni e del</w:t>
      </w:r>
      <w:r w:rsidR="00C463B6" w:rsidRPr="000A7663">
        <w:rPr>
          <w:rFonts w:ascii="Century Gothic" w:hAnsi="Century Gothic"/>
          <w:sz w:val="22"/>
        </w:rPr>
        <w:t xml:space="preserve"> consueto </w:t>
      </w:r>
      <w:r w:rsidR="00AE47A9" w:rsidRPr="000A7663">
        <w:rPr>
          <w:rFonts w:ascii="Century Gothic" w:hAnsi="Century Gothic"/>
          <w:sz w:val="22"/>
        </w:rPr>
        <w:t xml:space="preserve"> contributo assicurato dalla Fondazione Varrone. </w:t>
      </w:r>
      <w:r w:rsidRPr="000A7663">
        <w:rPr>
          <w:rFonts w:ascii="Century Gothic" w:hAnsi="Century Gothic"/>
          <w:sz w:val="22"/>
        </w:rPr>
        <w:t xml:space="preserve"> Come ogni anno in sede di redazione del budget i costi ed i ricavi della manifestazione sportiva sono previsti in pareggio. 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5) Altri ricavi e proventi.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All’interno di questa voce sono ricomprese tutte quelle entrate che conseguono alla gestione accessoria dell’Ente, tra le entrate più significative si evidenziano:  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bookmarkStart w:id="1" w:name="_MON_1476602069"/>
    <w:bookmarkEnd w:id="1"/>
    <w:p w:rsidR="008774CA" w:rsidRDefault="008774CA" w:rsidP="00C64EF5">
      <w:pPr>
        <w:tabs>
          <w:tab w:val="left" w:pos="3969"/>
          <w:tab w:val="left" w:pos="4962"/>
          <w:tab w:val="left" w:pos="5812"/>
          <w:tab w:val="left" w:pos="6521"/>
          <w:tab w:val="left" w:pos="6804"/>
        </w:tabs>
        <w:jc w:val="both"/>
        <w:rPr>
          <w:rFonts w:ascii="Century Gothic" w:hAnsi="Century Gothic"/>
          <w:sz w:val="22"/>
        </w:rPr>
      </w:pPr>
      <w:r w:rsidRPr="009D11ED">
        <w:rPr>
          <w:rFonts w:ascii="Century Gothic" w:hAnsi="Century Gothic"/>
          <w:sz w:val="22"/>
        </w:rPr>
        <w:object w:dxaOrig="9398" w:dyaOrig="3200">
          <v:shape id="_x0000_i1027" type="#_x0000_t75" style="width:470.05pt;height:177.95pt" o:ole="" fillcolor="window">
            <v:imagedata r:id="rId13" o:title=""/>
          </v:shape>
          <o:OLEObject Type="Embed" ProgID="Excel.Sheet.8" ShapeID="_x0000_i1027" DrawAspect="Content" ObjectID="_1508312789" r:id="rId14"/>
        </w:object>
      </w:r>
    </w:p>
    <w:p w:rsidR="008774CA" w:rsidRDefault="008774CA" w:rsidP="00C64EF5">
      <w:pPr>
        <w:tabs>
          <w:tab w:val="left" w:pos="3969"/>
          <w:tab w:val="left" w:pos="4962"/>
          <w:tab w:val="left" w:pos="5812"/>
          <w:tab w:val="left" w:pos="6521"/>
          <w:tab w:val="left" w:pos="6804"/>
        </w:tabs>
        <w:jc w:val="both"/>
        <w:rPr>
          <w:rFonts w:ascii="Century Gothic" w:hAnsi="Century Gothic"/>
          <w:sz w:val="22"/>
        </w:rPr>
      </w:pPr>
    </w:p>
    <w:p w:rsidR="008774CA" w:rsidRDefault="008774CA" w:rsidP="00C64EF5">
      <w:pPr>
        <w:tabs>
          <w:tab w:val="left" w:pos="3969"/>
          <w:tab w:val="left" w:pos="4962"/>
          <w:tab w:val="left" w:pos="5812"/>
          <w:tab w:val="left" w:pos="6521"/>
          <w:tab w:val="left" w:pos="6804"/>
        </w:tabs>
        <w:jc w:val="both"/>
        <w:rPr>
          <w:rFonts w:ascii="Century Gothic" w:hAnsi="Century Gothic"/>
          <w:sz w:val="22"/>
        </w:rPr>
      </w:pPr>
    </w:p>
    <w:p w:rsidR="008774CA" w:rsidRDefault="008774CA" w:rsidP="00C64EF5">
      <w:pPr>
        <w:tabs>
          <w:tab w:val="left" w:pos="3969"/>
          <w:tab w:val="left" w:pos="4962"/>
          <w:tab w:val="left" w:pos="5812"/>
          <w:tab w:val="left" w:pos="6521"/>
          <w:tab w:val="left" w:pos="6804"/>
        </w:tabs>
        <w:jc w:val="both"/>
        <w:rPr>
          <w:rFonts w:ascii="Century Gothic" w:hAnsi="Century Gothic"/>
          <w:sz w:val="22"/>
        </w:rPr>
      </w:pPr>
    </w:p>
    <w:p w:rsidR="008774CA" w:rsidRDefault="008774CA" w:rsidP="00C64EF5">
      <w:pPr>
        <w:tabs>
          <w:tab w:val="left" w:pos="3969"/>
          <w:tab w:val="left" w:pos="4962"/>
          <w:tab w:val="left" w:pos="5812"/>
          <w:tab w:val="left" w:pos="6521"/>
          <w:tab w:val="left" w:pos="6804"/>
        </w:tabs>
        <w:jc w:val="both"/>
        <w:rPr>
          <w:rFonts w:ascii="Century Gothic" w:hAnsi="Century Gothic"/>
          <w:sz w:val="22"/>
        </w:rPr>
      </w:pPr>
    </w:p>
    <w:p w:rsidR="00AE47A9" w:rsidRDefault="008774CA" w:rsidP="00C64EF5">
      <w:pPr>
        <w:tabs>
          <w:tab w:val="left" w:pos="3969"/>
          <w:tab w:val="left" w:pos="4962"/>
          <w:tab w:val="left" w:pos="5812"/>
          <w:tab w:val="left" w:pos="6521"/>
          <w:tab w:val="left" w:pos="6804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S</w:t>
      </w:r>
      <w:r w:rsidR="003335F5">
        <w:rPr>
          <w:rFonts w:ascii="Century Gothic" w:hAnsi="Century Gothic"/>
          <w:sz w:val="22"/>
        </w:rPr>
        <w:t>i prevedono</w:t>
      </w:r>
      <w:r w:rsidR="00AE47A9">
        <w:rPr>
          <w:rFonts w:ascii="Century Gothic" w:hAnsi="Century Gothic"/>
          <w:sz w:val="22"/>
        </w:rPr>
        <w:t>, per la realizzazione della manifestazione sportiva Rieti Terminillo, Co</w:t>
      </w:r>
      <w:r w:rsidR="000B53FA">
        <w:rPr>
          <w:rFonts w:ascii="Century Gothic" w:hAnsi="Century Gothic"/>
          <w:sz w:val="22"/>
        </w:rPr>
        <w:t xml:space="preserve">ntributi da parte </w:t>
      </w:r>
      <w:r w:rsidR="00AE47A9">
        <w:rPr>
          <w:rFonts w:ascii="Century Gothic" w:hAnsi="Century Gothic"/>
          <w:sz w:val="22"/>
        </w:rPr>
        <w:t>del Comune</w:t>
      </w:r>
      <w:r w:rsidR="00686EC5">
        <w:rPr>
          <w:rFonts w:ascii="Century Gothic" w:hAnsi="Century Gothic"/>
          <w:sz w:val="22"/>
        </w:rPr>
        <w:t>,</w:t>
      </w:r>
      <w:r w:rsidR="00AE47A9">
        <w:rPr>
          <w:rFonts w:ascii="Century Gothic" w:hAnsi="Century Gothic"/>
          <w:sz w:val="22"/>
        </w:rPr>
        <w:t xml:space="preserve"> </w:t>
      </w:r>
      <w:r w:rsidR="005323DC">
        <w:rPr>
          <w:rFonts w:ascii="Century Gothic" w:hAnsi="Century Gothic"/>
          <w:sz w:val="22"/>
        </w:rPr>
        <w:t xml:space="preserve">della Cariri </w:t>
      </w:r>
      <w:r w:rsidR="00AE47A9">
        <w:rPr>
          <w:rFonts w:ascii="Century Gothic" w:hAnsi="Century Gothic"/>
          <w:sz w:val="22"/>
        </w:rPr>
        <w:t>e della Camera di Commercio di Rieti</w:t>
      </w:r>
      <w:r w:rsidR="005323DC">
        <w:rPr>
          <w:rFonts w:ascii="Century Gothic" w:hAnsi="Century Gothic"/>
          <w:sz w:val="22"/>
        </w:rPr>
        <w:t xml:space="preserve">, per un </w:t>
      </w:r>
      <w:r w:rsidR="00FC2669">
        <w:rPr>
          <w:rFonts w:ascii="Century Gothic" w:hAnsi="Century Gothic"/>
          <w:sz w:val="22"/>
        </w:rPr>
        <w:t>totale di € 15.0</w:t>
      </w:r>
      <w:r w:rsidR="00AE47A9">
        <w:rPr>
          <w:rFonts w:ascii="Century Gothic" w:hAnsi="Century Gothic"/>
          <w:sz w:val="22"/>
        </w:rPr>
        <w:t>00,00</w:t>
      </w:r>
      <w:r w:rsidR="00FC2669">
        <w:rPr>
          <w:rFonts w:ascii="Century Gothic" w:hAnsi="Century Gothic"/>
          <w:sz w:val="22"/>
        </w:rPr>
        <w:t>, minore rispetto al 2015 per i vincoli di bilancio nell’erogazione di contributi a cui sono soggetti gli Enti Locali</w:t>
      </w:r>
      <w:r w:rsidR="00C64EF5">
        <w:rPr>
          <w:rFonts w:ascii="Century Gothic" w:hAnsi="Century Gothic"/>
          <w:sz w:val="22"/>
        </w:rPr>
        <w:t>.</w:t>
      </w:r>
    </w:p>
    <w:p w:rsidR="00AE47A9" w:rsidRDefault="00AE47A9" w:rsidP="003335F5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I proventi </w:t>
      </w:r>
      <w:r w:rsidR="00FC2669">
        <w:rPr>
          <w:rFonts w:ascii="Century Gothic" w:hAnsi="Century Gothic"/>
          <w:sz w:val="22"/>
        </w:rPr>
        <w:t>da</w:t>
      </w:r>
      <w:r>
        <w:rPr>
          <w:rFonts w:ascii="Century Gothic" w:hAnsi="Century Gothic"/>
          <w:sz w:val="22"/>
        </w:rPr>
        <w:t xml:space="preserve"> subaffitti di immobili</w:t>
      </w:r>
      <w:r w:rsidR="000B53FA">
        <w:rPr>
          <w:rFonts w:ascii="Century Gothic" w:hAnsi="Century Gothic"/>
          <w:sz w:val="22"/>
        </w:rPr>
        <w:t xml:space="preserve"> non</w:t>
      </w:r>
      <w:r>
        <w:rPr>
          <w:rFonts w:ascii="Century Gothic" w:hAnsi="Century Gothic"/>
          <w:sz w:val="22"/>
        </w:rPr>
        <w:t xml:space="preserve"> subiscono </w:t>
      </w:r>
      <w:r w:rsidR="000B53FA">
        <w:rPr>
          <w:rFonts w:ascii="Century Gothic" w:hAnsi="Century Gothic"/>
          <w:sz w:val="22"/>
        </w:rPr>
        <w:t>variazioni</w:t>
      </w:r>
      <w:r>
        <w:rPr>
          <w:rFonts w:ascii="Century Gothic" w:hAnsi="Century Gothic"/>
          <w:sz w:val="22"/>
        </w:rPr>
        <w:t>,</w:t>
      </w:r>
      <w:r w:rsidR="00FC2669">
        <w:rPr>
          <w:rFonts w:ascii="Century Gothic" w:hAnsi="Century Gothic"/>
          <w:sz w:val="22"/>
        </w:rPr>
        <w:t xml:space="preserve"> </w:t>
      </w:r>
      <w:r w:rsidR="00963084">
        <w:rPr>
          <w:rFonts w:ascii="Century Gothic" w:hAnsi="Century Gothic"/>
          <w:sz w:val="22"/>
        </w:rPr>
        <w:t xml:space="preserve">mentre </w:t>
      </w:r>
      <w:r w:rsidR="00FC2669">
        <w:rPr>
          <w:rFonts w:ascii="Century Gothic" w:hAnsi="Century Gothic"/>
          <w:sz w:val="22"/>
        </w:rPr>
        <w:t xml:space="preserve">quelli per </w:t>
      </w:r>
      <w:r w:rsidR="00963084">
        <w:rPr>
          <w:rFonts w:ascii="Century Gothic" w:hAnsi="Century Gothic"/>
          <w:sz w:val="22"/>
        </w:rPr>
        <w:t>l’</w:t>
      </w:r>
      <w:r w:rsidR="00FC2669">
        <w:rPr>
          <w:rFonts w:ascii="Century Gothic" w:hAnsi="Century Gothic"/>
          <w:sz w:val="22"/>
        </w:rPr>
        <w:t>utilizzo marchio subiscono una lieve riduzione di € 1.500,00 dovuta alla chiusura di due dele</w:t>
      </w:r>
      <w:r w:rsidR="00686EC5">
        <w:rPr>
          <w:rFonts w:ascii="Century Gothic" w:hAnsi="Century Gothic"/>
          <w:sz w:val="22"/>
        </w:rPr>
        <w:t xml:space="preserve">gazioni in parte compensata </w:t>
      </w:r>
      <w:r w:rsidR="00FC2669">
        <w:rPr>
          <w:rFonts w:ascii="Century Gothic" w:hAnsi="Century Gothic"/>
          <w:sz w:val="22"/>
        </w:rPr>
        <w:t>d</w:t>
      </w:r>
      <w:r w:rsidR="00117690">
        <w:rPr>
          <w:rFonts w:ascii="Century Gothic" w:hAnsi="Century Gothic"/>
          <w:sz w:val="22"/>
        </w:rPr>
        <w:t>alla previsione di riaprirne un’altr</w:t>
      </w:r>
      <w:r w:rsidR="00686EC5">
        <w:rPr>
          <w:rFonts w:ascii="Century Gothic" w:hAnsi="Century Gothic"/>
          <w:sz w:val="22"/>
        </w:rPr>
        <w:t>a sempre nella zona di Osteria N</w:t>
      </w:r>
      <w:r w:rsidR="00117690">
        <w:rPr>
          <w:rFonts w:ascii="Century Gothic" w:hAnsi="Century Gothic"/>
          <w:sz w:val="22"/>
        </w:rPr>
        <w:t>uova</w:t>
      </w:r>
      <w:r w:rsidR="00686EC5">
        <w:rPr>
          <w:rFonts w:ascii="Century Gothic" w:hAnsi="Century Gothic"/>
          <w:sz w:val="22"/>
        </w:rPr>
        <w:t>. Nel sottoconto “P</w:t>
      </w:r>
      <w:r>
        <w:rPr>
          <w:rFonts w:ascii="Century Gothic" w:hAnsi="Century Gothic"/>
          <w:sz w:val="22"/>
        </w:rPr>
        <w:t>rovvigioni</w:t>
      </w:r>
      <w:r w:rsidR="00686EC5">
        <w:rPr>
          <w:rFonts w:ascii="Century Gothic" w:hAnsi="Century Gothic"/>
          <w:sz w:val="22"/>
        </w:rPr>
        <w:t xml:space="preserve"> attive” della </w:t>
      </w:r>
      <w:r>
        <w:rPr>
          <w:rFonts w:ascii="Century Gothic" w:hAnsi="Century Gothic"/>
          <w:sz w:val="22"/>
        </w:rPr>
        <w:t xml:space="preserve"> Sara assic</w:t>
      </w:r>
      <w:r w:rsidR="000B53FA">
        <w:rPr>
          <w:rFonts w:ascii="Century Gothic" w:hAnsi="Century Gothic"/>
          <w:sz w:val="22"/>
        </w:rPr>
        <w:t xml:space="preserve">urazioni </w:t>
      </w:r>
      <w:r w:rsidR="00DD0E93">
        <w:rPr>
          <w:rFonts w:ascii="Century Gothic" w:hAnsi="Century Gothic"/>
          <w:sz w:val="22"/>
        </w:rPr>
        <w:t xml:space="preserve">si prevede </w:t>
      </w:r>
      <w:r w:rsidR="006036A5">
        <w:rPr>
          <w:rFonts w:ascii="Century Gothic" w:hAnsi="Century Gothic"/>
          <w:sz w:val="22"/>
        </w:rPr>
        <w:t xml:space="preserve"> una diminuzione di € </w:t>
      </w:r>
      <w:r w:rsidR="00FC2669">
        <w:rPr>
          <w:rFonts w:ascii="Century Gothic" w:hAnsi="Century Gothic"/>
          <w:sz w:val="22"/>
        </w:rPr>
        <w:t>1</w:t>
      </w:r>
      <w:r w:rsidR="00117690">
        <w:rPr>
          <w:rFonts w:ascii="Century Gothic" w:hAnsi="Century Gothic"/>
          <w:sz w:val="22"/>
        </w:rPr>
        <w:t>.000,00</w:t>
      </w:r>
      <w:r w:rsidR="00B019E0">
        <w:rPr>
          <w:rFonts w:ascii="Century Gothic" w:hAnsi="Century Gothic"/>
          <w:sz w:val="22"/>
        </w:rPr>
        <w:t xml:space="preserve"> a causa del persistere del trend negativo nel settore assicurativo.</w:t>
      </w:r>
    </w:p>
    <w:p w:rsidR="00117690" w:rsidRDefault="00117690" w:rsidP="003335F5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I proventi per </w:t>
      </w:r>
      <w:r w:rsidR="00963084">
        <w:rPr>
          <w:rFonts w:ascii="Century Gothic" w:hAnsi="Century Gothic"/>
          <w:sz w:val="22"/>
        </w:rPr>
        <w:t xml:space="preserve">Pubblicità, volti a sopperire </w:t>
      </w:r>
      <w:r>
        <w:rPr>
          <w:rFonts w:ascii="Century Gothic" w:hAnsi="Century Gothic"/>
          <w:sz w:val="22"/>
        </w:rPr>
        <w:t xml:space="preserve">le minori previsioni di contributi da parte degli Enti locali, </w:t>
      </w:r>
      <w:r w:rsidR="00E102FF">
        <w:rPr>
          <w:rFonts w:ascii="Century Gothic" w:hAnsi="Century Gothic"/>
          <w:sz w:val="22"/>
        </w:rPr>
        <w:t xml:space="preserve">subiscono solo una lieve </w:t>
      </w:r>
      <w:r>
        <w:rPr>
          <w:rFonts w:ascii="Century Gothic" w:hAnsi="Century Gothic"/>
          <w:sz w:val="22"/>
        </w:rPr>
        <w:t xml:space="preserve"> variaz</w:t>
      </w:r>
      <w:r w:rsidR="00E102FF">
        <w:rPr>
          <w:rFonts w:ascii="Century Gothic" w:hAnsi="Century Gothic"/>
          <w:sz w:val="22"/>
        </w:rPr>
        <w:t>ione</w:t>
      </w:r>
      <w:r>
        <w:rPr>
          <w:rFonts w:ascii="Century Gothic" w:hAnsi="Century Gothic"/>
          <w:sz w:val="22"/>
        </w:rPr>
        <w:t xml:space="preserve"> r</w:t>
      </w:r>
      <w:r w:rsidR="00E102FF">
        <w:rPr>
          <w:rFonts w:ascii="Century Gothic" w:hAnsi="Century Gothic"/>
          <w:sz w:val="22"/>
        </w:rPr>
        <w:t>ispetto al 2015 e si attestano</w:t>
      </w:r>
      <w:r>
        <w:rPr>
          <w:rFonts w:ascii="Century Gothic" w:hAnsi="Century Gothic"/>
          <w:sz w:val="22"/>
        </w:rPr>
        <w:t xml:space="preserve"> ad € 15.000,00.</w:t>
      </w:r>
    </w:p>
    <w:p w:rsidR="003118ED" w:rsidRDefault="00F65A70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Vista l’esperienza, non pienamente soddisfacente, dell’edizione 2015 della lotteria Carotti , si è preferito porre nel budget stanziamenti minori </w:t>
      </w:r>
      <w:r w:rsidR="003C47B0">
        <w:rPr>
          <w:rFonts w:ascii="Century Gothic" w:hAnsi="Century Gothic"/>
          <w:sz w:val="22"/>
        </w:rPr>
        <w:t>rispetto a quelli dell’anno precedente</w:t>
      </w:r>
      <w:r w:rsidR="00117690">
        <w:rPr>
          <w:rFonts w:ascii="Century Gothic" w:hAnsi="Century Gothic"/>
          <w:sz w:val="22"/>
        </w:rPr>
        <w:t xml:space="preserve"> nei sottoconti Proventi Lotteria e Contributi Volontari per manifestazione sportiva, che in totale subiscono un decremento di € 26</w:t>
      </w:r>
      <w:r w:rsidR="00963084">
        <w:rPr>
          <w:rFonts w:ascii="Century Gothic" w:hAnsi="Century Gothic"/>
          <w:sz w:val="22"/>
        </w:rPr>
        <w:t>.</w:t>
      </w:r>
      <w:r w:rsidR="00117690">
        <w:rPr>
          <w:rFonts w:ascii="Century Gothic" w:hAnsi="Century Gothic"/>
          <w:sz w:val="22"/>
        </w:rPr>
        <w:t>000,00</w:t>
      </w:r>
      <w:r w:rsidR="003C47B0">
        <w:rPr>
          <w:rFonts w:ascii="Century Gothic" w:hAnsi="Century Gothic"/>
          <w:sz w:val="22"/>
        </w:rPr>
        <w:t>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  <w:u w:val="single"/>
        </w:rPr>
      </w:pPr>
      <w:r>
        <w:rPr>
          <w:rFonts w:ascii="Century Gothic" w:hAnsi="Century Gothic"/>
          <w:b/>
          <w:i/>
          <w:sz w:val="22"/>
          <w:u w:val="single"/>
        </w:rPr>
        <w:t>B- COSTI DELLA PRODUZIONE</w:t>
      </w:r>
    </w:p>
    <w:p w:rsidR="00E771A7" w:rsidRPr="00457CCB" w:rsidRDefault="00E771A7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6) Acquisti di materie prime, sussidiarie, di consumo e di merci.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In tale voce rientrano anche  i materiali di consumo, che nel nostro budget sono rappresentate dalle uscite per cancelleria e stampati. </w: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3C47B0">
      <w:pPr>
        <w:jc w:val="both"/>
        <w:rPr>
          <w:rFonts w:ascii="Verdana" w:hAnsi="Verdana"/>
          <w:sz w:val="22"/>
        </w:rPr>
      </w:pPr>
      <w:r w:rsidRPr="009D11ED">
        <w:rPr>
          <w:rFonts w:ascii="Verdana" w:hAnsi="Verdana"/>
          <w:sz w:val="22"/>
        </w:rPr>
        <w:object w:dxaOrig="8464" w:dyaOrig="978">
          <v:shape id="_x0000_i1028" type="#_x0000_t75" style="width:423.15pt;height:48.9pt" o:ole="" fillcolor="window">
            <v:imagedata r:id="rId15" o:title=""/>
          </v:shape>
          <o:OLEObject Type="Embed" ProgID="Excel.Sheet.8" ShapeID="_x0000_i1028" DrawAspect="Content" ObjectID="_1508312790" r:id="rId16"/>
        </w:objec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7) Spese per prestazioni di servizi.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Nella voce B7 sono state  indicate le uscite relative all’acquisizione di servizi connessi all’attività ordinaria dell’ Ente. Si elencano le voci più significative: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3C47B0">
      <w:pPr>
        <w:jc w:val="both"/>
        <w:rPr>
          <w:rFonts w:ascii="Century Gothic" w:hAnsi="Century Gothic"/>
          <w:b/>
          <w:sz w:val="22"/>
        </w:rPr>
      </w:pPr>
      <w:r w:rsidRPr="009D11ED">
        <w:rPr>
          <w:rFonts w:ascii="Century Gothic" w:hAnsi="Century Gothic"/>
          <w:b/>
          <w:sz w:val="22"/>
        </w:rPr>
        <w:object w:dxaOrig="9225" w:dyaOrig="5668">
          <v:shape id="_x0000_i1029" type="#_x0000_t75" style="width:461.2pt;height:283.9pt" o:ole="" fillcolor="window">
            <v:imagedata r:id="rId17" o:title=""/>
          </v:shape>
          <o:OLEObject Type="Embed" ProgID="Excel.Sheet.8" ShapeID="_x0000_i1029" DrawAspect="Content" ObjectID="_1508312791" r:id="rId18"/>
        </w:object>
      </w:r>
      <w:r w:rsidR="00AE47A9">
        <w:rPr>
          <w:rFonts w:ascii="Century Gothic" w:hAnsi="Century Gothic"/>
          <w:b/>
          <w:sz w:val="22"/>
        </w:rPr>
        <w:t xml:space="preserve"> </w:t>
      </w:r>
    </w:p>
    <w:p w:rsidR="00AE47A9" w:rsidRDefault="00AE47A9">
      <w:pPr>
        <w:jc w:val="both"/>
        <w:rPr>
          <w:rFonts w:ascii="Century Gothic" w:hAnsi="Century Gothic"/>
          <w:b/>
          <w:sz w:val="22"/>
        </w:rPr>
      </w:pPr>
    </w:p>
    <w:p w:rsidR="000E3160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generale tutti i costi della produzione sono rimasti invariati, in qu</w:t>
      </w:r>
      <w:r w:rsidR="000E3160">
        <w:rPr>
          <w:rFonts w:ascii="Century Gothic" w:hAnsi="Century Gothic"/>
          <w:sz w:val="22"/>
        </w:rPr>
        <w:t xml:space="preserve">anto relativi a spese ordinarie già fortemente </w:t>
      </w:r>
      <w:r>
        <w:rPr>
          <w:rFonts w:ascii="Century Gothic" w:hAnsi="Century Gothic"/>
          <w:sz w:val="22"/>
        </w:rPr>
        <w:t>contra</w:t>
      </w:r>
      <w:r w:rsidR="000E3160">
        <w:rPr>
          <w:rFonts w:ascii="Century Gothic" w:hAnsi="Century Gothic"/>
          <w:sz w:val="22"/>
        </w:rPr>
        <w:t>tt</w:t>
      </w:r>
      <w:r>
        <w:rPr>
          <w:rFonts w:ascii="Century Gothic" w:hAnsi="Century Gothic"/>
          <w:sz w:val="22"/>
        </w:rPr>
        <w:t>e</w:t>
      </w:r>
      <w:r w:rsidR="000E3160">
        <w:rPr>
          <w:rFonts w:ascii="Century Gothic" w:hAnsi="Century Gothic"/>
          <w:sz w:val="22"/>
        </w:rPr>
        <w:t xml:space="preserve"> negli anni precedenti. </w:t>
      </w:r>
    </w:p>
    <w:p w:rsidR="000E3160" w:rsidRDefault="000E3160">
      <w:pPr>
        <w:jc w:val="both"/>
        <w:rPr>
          <w:rFonts w:ascii="Century Gothic" w:hAnsi="Century Gothic"/>
          <w:sz w:val="22"/>
        </w:rPr>
      </w:pPr>
    </w:p>
    <w:p w:rsidR="000E3160" w:rsidRDefault="000E3160" w:rsidP="000E3160">
      <w:pPr>
        <w:jc w:val="both"/>
        <w:rPr>
          <w:rFonts w:ascii="Century Gothic" w:hAnsi="Century Gothic"/>
          <w:sz w:val="22"/>
        </w:rPr>
      </w:pPr>
      <w:r w:rsidRPr="00457CCB">
        <w:rPr>
          <w:rFonts w:ascii="Century Gothic" w:hAnsi="Century Gothic"/>
          <w:sz w:val="22"/>
        </w:rPr>
        <w:t xml:space="preserve">I costi </w:t>
      </w:r>
      <w:r>
        <w:rPr>
          <w:rFonts w:ascii="Century Gothic" w:hAnsi="Century Gothic"/>
          <w:sz w:val="22"/>
        </w:rPr>
        <w:t>per l’organizzazione della manifestazione sportiva subiscono un</w:t>
      </w:r>
      <w:r w:rsidR="005F12EA">
        <w:rPr>
          <w:rFonts w:ascii="Century Gothic" w:hAnsi="Century Gothic"/>
          <w:sz w:val="22"/>
        </w:rPr>
        <w:t>a</w:t>
      </w:r>
      <w:r>
        <w:rPr>
          <w:rFonts w:ascii="Century Gothic" w:hAnsi="Century Gothic"/>
          <w:sz w:val="22"/>
        </w:rPr>
        <w:t xml:space="preserve"> di</w:t>
      </w:r>
      <w:r w:rsidR="003C47B0">
        <w:rPr>
          <w:rFonts w:ascii="Century Gothic" w:hAnsi="Century Gothic"/>
          <w:sz w:val="22"/>
        </w:rPr>
        <w:t>minuzione € 30</w:t>
      </w:r>
      <w:r w:rsidR="00762BE5">
        <w:rPr>
          <w:rFonts w:ascii="Century Gothic" w:hAnsi="Century Gothic"/>
          <w:sz w:val="22"/>
        </w:rPr>
        <w:t>.000,00</w:t>
      </w:r>
      <w:r w:rsidR="00117690">
        <w:rPr>
          <w:rFonts w:ascii="Century Gothic" w:hAnsi="Century Gothic"/>
          <w:sz w:val="22"/>
        </w:rPr>
        <w:t>, dovut</w:t>
      </w:r>
      <w:r w:rsidR="00686EC5">
        <w:rPr>
          <w:rFonts w:ascii="Century Gothic" w:hAnsi="Century Gothic"/>
          <w:sz w:val="22"/>
        </w:rPr>
        <w:t>a</w:t>
      </w:r>
      <w:r w:rsidR="00117690">
        <w:rPr>
          <w:rFonts w:ascii="Century Gothic" w:hAnsi="Century Gothic"/>
          <w:sz w:val="22"/>
        </w:rPr>
        <w:t xml:space="preserve"> principalmente </w:t>
      </w:r>
      <w:r w:rsidR="00C424E6">
        <w:rPr>
          <w:rFonts w:ascii="Century Gothic" w:hAnsi="Century Gothic"/>
          <w:sz w:val="22"/>
        </w:rPr>
        <w:t>alla continua ottimizzazione dei costi per la realizzazio</w:t>
      </w:r>
      <w:r w:rsidR="0086665F">
        <w:rPr>
          <w:rFonts w:ascii="Century Gothic" w:hAnsi="Century Gothic"/>
          <w:sz w:val="22"/>
        </w:rPr>
        <w:t xml:space="preserve">ne della manifestazione nonché </w:t>
      </w:r>
      <w:r w:rsidR="00C424E6">
        <w:rPr>
          <w:rFonts w:ascii="Century Gothic" w:hAnsi="Century Gothic"/>
          <w:sz w:val="22"/>
        </w:rPr>
        <w:t>alla</w:t>
      </w:r>
      <w:r w:rsidR="00117690">
        <w:rPr>
          <w:rFonts w:ascii="Century Gothic" w:hAnsi="Century Gothic"/>
          <w:sz w:val="22"/>
        </w:rPr>
        <w:t xml:space="preserve"> riduzione </w:t>
      </w:r>
      <w:r w:rsidR="00A97D79">
        <w:rPr>
          <w:rFonts w:ascii="Century Gothic" w:hAnsi="Century Gothic"/>
          <w:sz w:val="22"/>
        </w:rPr>
        <w:t>dei costi di gestione organizzazione della Lotteria e della raccolta di contributi volontari . Si  precisa</w:t>
      </w:r>
      <w:r>
        <w:rPr>
          <w:rFonts w:ascii="Century Gothic" w:hAnsi="Century Gothic"/>
          <w:sz w:val="22"/>
        </w:rPr>
        <w:t xml:space="preserve"> che  tutti i costi  della manifestazione sportiva  sono coperti dalle corrispondenti  voci di ricavi ( Proventi manifestazione sportiva , contributi Enti, Proventi lotteria, pubblicità..),  e pertanto non andranno ad incidere sul risultato economico dell’Ente.</w:t>
      </w:r>
    </w:p>
    <w:p w:rsidR="00762BE5" w:rsidRPr="000E3160" w:rsidRDefault="00762BE5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8) Spese per godimento di beni di terzi.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Comprende tutti i corrispettivi pagati dall’Ente per il godimento di beni materiali, quali fitto locali e suoi oneri accessori, nonché il noleggio della fotocopiatrice. Parte della locazione passiva trova </w:t>
      </w:r>
      <w:r w:rsidR="00FA0E23">
        <w:rPr>
          <w:rFonts w:ascii="Century Gothic" w:hAnsi="Century Gothic"/>
          <w:sz w:val="22"/>
        </w:rPr>
        <w:t>contropartita, tra o ricavi,</w:t>
      </w:r>
      <w:r>
        <w:rPr>
          <w:rFonts w:ascii="Century Gothic" w:hAnsi="Century Gothic"/>
          <w:sz w:val="22"/>
        </w:rPr>
        <w:t xml:space="preserve"> nella voce B5 “ Subaffitti di immobi</w:t>
      </w:r>
      <w:r w:rsidR="00FA0E23">
        <w:rPr>
          <w:rFonts w:ascii="Century Gothic" w:hAnsi="Century Gothic"/>
          <w:sz w:val="22"/>
        </w:rPr>
        <w:t>li” per la somma di € 16.500,00 per subaffitto dei locali della delegazione di sede alla società An service.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C11738">
      <w:pPr>
        <w:jc w:val="both"/>
        <w:rPr>
          <w:rFonts w:ascii="Century Gothic" w:hAnsi="Century Gothic"/>
          <w:sz w:val="22"/>
        </w:rPr>
      </w:pPr>
      <w:r w:rsidRPr="009D11ED">
        <w:rPr>
          <w:rFonts w:ascii="Century Gothic" w:hAnsi="Century Gothic"/>
          <w:sz w:val="22"/>
        </w:rPr>
        <w:object w:dxaOrig="8340" w:dyaOrig="1225">
          <v:shape id="_x0000_i1030" type="#_x0000_t75" style="width:417.05pt;height:61.15pt" o:ole="" fillcolor="window">
            <v:imagedata r:id="rId19" o:title=""/>
          </v:shape>
          <o:OLEObject Type="Embed" ProgID="Excel.Sheet.8" ShapeID="_x0000_i1030" DrawAspect="Content" ObjectID="_1508312792" r:id="rId20"/>
        </w:objec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9) Costi del personale.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In tale voce confluis</w:t>
      </w:r>
      <w:r w:rsidR="0086665F">
        <w:rPr>
          <w:rFonts w:ascii="Century Gothic" w:hAnsi="Century Gothic"/>
          <w:sz w:val="22"/>
        </w:rPr>
        <w:t>cono tutti i costi che l’Ente</w:t>
      </w:r>
      <w:r>
        <w:rPr>
          <w:rFonts w:ascii="Century Gothic" w:hAnsi="Century Gothic"/>
          <w:sz w:val="22"/>
        </w:rPr>
        <w:t xml:space="preserve"> sostie</w:t>
      </w:r>
      <w:r w:rsidR="00963C1F">
        <w:rPr>
          <w:rFonts w:ascii="Century Gothic" w:hAnsi="Century Gothic"/>
          <w:sz w:val="22"/>
        </w:rPr>
        <w:t>ne  per l’unica dipendente e</w:t>
      </w:r>
      <w:r>
        <w:rPr>
          <w:rFonts w:ascii="Century Gothic" w:hAnsi="Century Gothic"/>
          <w:sz w:val="22"/>
        </w:rPr>
        <w:t xml:space="preserve"> il per il trattamento accessorio al Direttore </w:t>
      </w:r>
      <w:r w:rsidR="00F76D57">
        <w:rPr>
          <w:rFonts w:ascii="Century Gothic" w:hAnsi="Century Gothic"/>
          <w:sz w:val="22"/>
        </w:rPr>
        <w:t xml:space="preserve"> più i relativi oneri , anticipati</w:t>
      </w:r>
      <w:r>
        <w:rPr>
          <w:rFonts w:ascii="Century Gothic" w:hAnsi="Century Gothic"/>
          <w:sz w:val="22"/>
        </w:rPr>
        <w:t xml:space="preserve"> dall'Aci m</w:t>
      </w:r>
      <w:r w:rsidR="00F76D57">
        <w:rPr>
          <w:rFonts w:ascii="Century Gothic" w:hAnsi="Century Gothic"/>
          <w:sz w:val="22"/>
        </w:rPr>
        <w:t>a a carico dell'Automobile Club.</w:t>
      </w:r>
      <w:r w:rsidR="00282C67">
        <w:rPr>
          <w:rFonts w:ascii="Century Gothic" w:hAnsi="Century Gothic"/>
          <w:sz w:val="22"/>
        </w:rPr>
        <w:t xml:space="preserve"> Non ci sono variazioni rispetto alle previsioni 2015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C11738">
      <w:pPr>
        <w:jc w:val="both"/>
        <w:rPr>
          <w:rFonts w:ascii="Century Gothic" w:hAnsi="Century Gothic"/>
          <w:sz w:val="22"/>
        </w:rPr>
      </w:pPr>
      <w:r w:rsidRPr="009D11ED">
        <w:rPr>
          <w:rFonts w:ascii="Century Gothic" w:hAnsi="Century Gothic"/>
          <w:b/>
          <w:i/>
          <w:sz w:val="22"/>
        </w:rPr>
        <w:object w:dxaOrig="6725" w:dyaOrig="2356">
          <v:shape id="_x0000_i1031" type="#_x0000_t75" style="width:451pt;height:127pt" o:ole="" fillcolor="window">
            <v:imagedata r:id="rId21" o:title=""/>
          </v:shape>
          <o:OLEObject Type="Embed" ProgID="Excel.Sheet.8" ShapeID="_x0000_i1031" DrawAspect="Content" ObjectID="_1508312793" r:id="rId22"/>
        </w:objec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10) Ammortamenti e svalutazioni.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tale voce confluiscono tutte le quote di ammortamento calcolate sulle immobilizzazioni materiali</w:t>
      </w:r>
      <w:r w:rsidR="00282C67">
        <w:rPr>
          <w:rFonts w:ascii="Century Gothic" w:hAnsi="Century Gothic"/>
          <w:sz w:val="22"/>
        </w:rPr>
        <w:t xml:space="preserve"> ed immateriali</w:t>
      </w:r>
      <w:r>
        <w:rPr>
          <w:rFonts w:ascii="Century Gothic" w:hAnsi="Century Gothic"/>
          <w:sz w:val="22"/>
        </w:rPr>
        <w:t xml:space="preserve"> che concorrono alla determinazione del reddito d’esercizio. </w: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295042">
      <w:pPr>
        <w:jc w:val="both"/>
        <w:rPr>
          <w:rFonts w:ascii="Verdana" w:hAnsi="Verdana"/>
          <w:sz w:val="22"/>
        </w:rPr>
      </w:pPr>
      <w:r w:rsidRPr="009D11ED">
        <w:rPr>
          <w:rFonts w:ascii="Verdana" w:hAnsi="Verdana"/>
          <w:sz w:val="22"/>
        </w:rPr>
        <w:object w:dxaOrig="9588" w:dyaOrig="1412">
          <v:shape id="_x0000_i1032" type="#_x0000_t75" style="width:479.55pt;height:71.3pt" o:ole="" fillcolor="window">
            <v:imagedata r:id="rId23" o:title=""/>
          </v:shape>
          <o:OLEObject Type="Embed" ProgID="Excel.Sheet.8" ShapeID="_x0000_i1032" DrawAspect="Content" ObjectID="_1508312794" r:id="rId24"/>
        </w:objec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E9175B" w:rsidRDefault="00E9175B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14) Oneri diversi di gestione.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sz w:val="22"/>
        </w:rPr>
        <w:t>La voce B14 costituisce una voce residuale nella quale confluiscono tutti i costi  e gli oneri della produzione diversi da quelli iscritti nelle voci precedenti, purchè inerenti alla gestione ordinaria, rientrano in tale voci: le sopravvenienze passive, le imposte indirette, tasse e cont</w:t>
      </w:r>
      <w:r w:rsidR="0086665F">
        <w:rPr>
          <w:rFonts w:ascii="Century Gothic" w:hAnsi="Century Gothic"/>
          <w:sz w:val="22"/>
        </w:rPr>
        <w:t>ributi e costi ed oneri diversi</w:t>
      </w:r>
      <w:r>
        <w:rPr>
          <w:rFonts w:ascii="Century Gothic" w:hAnsi="Century Gothic"/>
          <w:sz w:val="22"/>
        </w:rPr>
        <w:t xml:space="preserve"> di natura non finanziar</w:t>
      </w:r>
      <w:r w:rsidR="00BF65AB">
        <w:rPr>
          <w:rFonts w:ascii="Century Gothic" w:hAnsi="Century Gothic"/>
          <w:sz w:val="22"/>
        </w:rPr>
        <w:t>ia</w:t>
      </w:r>
      <w:r w:rsidR="0086665F">
        <w:rPr>
          <w:rFonts w:ascii="Century Gothic" w:hAnsi="Century Gothic"/>
          <w:sz w:val="22"/>
        </w:rPr>
        <w:t>,</w:t>
      </w:r>
      <w:r w:rsidR="00BF65AB">
        <w:rPr>
          <w:rFonts w:ascii="Century Gothic" w:hAnsi="Century Gothic"/>
          <w:sz w:val="22"/>
        </w:rPr>
        <w:t xml:space="preserve"> le spese di rappresentanza </w:t>
      </w:r>
      <w:r w:rsidR="00762BE5">
        <w:rPr>
          <w:rFonts w:ascii="Century Gothic" w:hAnsi="Century Gothic"/>
          <w:sz w:val="22"/>
        </w:rPr>
        <w:t>e le aliquote sociali</w:t>
      </w:r>
    </w:p>
    <w:p w:rsidR="00AE47A9" w:rsidRDefault="007B6534">
      <w:pPr>
        <w:jc w:val="both"/>
        <w:rPr>
          <w:rFonts w:ascii="Century Gothic" w:hAnsi="Century Gothic"/>
          <w:sz w:val="22"/>
        </w:rPr>
      </w:pPr>
      <w:r w:rsidRPr="009D11ED">
        <w:rPr>
          <w:rFonts w:ascii="Century Gothic" w:hAnsi="Century Gothic"/>
          <w:sz w:val="22"/>
        </w:rPr>
        <w:object w:dxaOrig="8388" w:dyaOrig="2892">
          <v:shape id="_x0000_i1033" type="#_x0000_t75" style="width:419.1pt;height:144.7pt" o:ole="" fillcolor="window">
            <v:imagedata r:id="rId25" o:title=""/>
          </v:shape>
          <o:OLEObject Type="Embed" ProgID="Excel.Sheet.8" ShapeID="_x0000_i1033" DrawAspect="Content" ObjectID="_1508312795" r:id="rId26"/>
        </w:objec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  <w:u w:val="single"/>
        </w:rPr>
      </w:pPr>
      <w:r>
        <w:rPr>
          <w:rFonts w:ascii="Century Gothic" w:hAnsi="Century Gothic"/>
          <w:b/>
          <w:i/>
          <w:sz w:val="22"/>
          <w:u w:val="single"/>
        </w:rPr>
        <w:t>C- PROVENTI E ONERI  FINANZIARI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16) Altri proventi finanziari.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tale voce vanno ricompresi tutti i proventi finanziari.</w:t>
      </w:r>
    </w:p>
    <w:p w:rsidR="00C4221C" w:rsidRDefault="009F3EEF">
      <w:pPr>
        <w:jc w:val="both"/>
        <w:rPr>
          <w:rFonts w:ascii="Century Gothic" w:hAnsi="Century Gothic"/>
          <w:b/>
          <w:i/>
          <w:sz w:val="22"/>
        </w:rPr>
      </w:pPr>
      <w:r w:rsidRPr="009D11ED">
        <w:rPr>
          <w:rFonts w:ascii="Century Gothic" w:hAnsi="Century Gothic"/>
          <w:b/>
          <w:i/>
          <w:sz w:val="22"/>
        </w:rPr>
        <w:object w:dxaOrig="9049" w:dyaOrig="933">
          <v:shape id="_x0000_i1034" type="#_x0000_t75" style="width:451.7pt;height:46.85pt" o:ole="" fillcolor="window">
            <v:imagedata r:id="rId27" o:title=""/>
          </v:shape>
          <o:OLEObject Type="Embed" ProgID="Excel.Sheet.8" ShapeID="_x0000_i1034" DrawAspect="Content" ObjectID="_1508312796" r:id="rId28"/>
        </w:object>
      </w: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i/>
          <w:sz w:val="22"/>
        </w:rPr>
        <w:t>17) Interessi e altri oneri finanziari.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sz w:val="22"/>
        </w:rPr>
        <w:t>In tale voce vanno ricompresi gli oneri finanziari, in particolare gli interessi passivi</w:t>
      </w:r>
      <w:r w:rsidR="00BF65AB">
        <w:rPr>
          <w:rFonts w:ascii="Century Gothic" w:hAnsi="Century Gothic"/>
          <w:sz w:val="22"/>
        </w:rPr>
        <w:t xml:space="preserve"> ed oneri di affidamento</w:t>
      </w:r>
      <w:r>
        <w:rPr>
          <w:rFonts w:ascii="Century Gothic" w:hAnsi="Century Gothic"/>
          <w:sz w:val="22"/>
        </w:rPr>
        <w:t xml:space="preserve"> generati dall'anticipazione bancaria necessaria al risanamento della situazione debitoria dell'Ente.</w:t>
      </w:r>
      <w:r w:rsidR="008961A5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 </w:t>
      </w:r>
      <w:r w:rsidR="009F3EEF">
        <w:rPr>
          <w:rFonts w:ascii="Century Gothic" w:hAnsi="Century Gothic"/>
          <w:sz w:val="22"/>
        </w:rPr>
        <w:t>Nel 2016 è prevista una diminuzione dei costi di affidamento per la diminuzione dell’anticipazione bancaria.</w:t>
      </w:r>
    </w:p>
    <w:p w:rsidR="00AE47A9" w:rsidRDefault="00AE47A9">
      <w:pPr>
        <w:jc w:val="both"/>
        <w:rPr>
          <w:rFonts w:ascii="Century Gothic" w:hAnsi="Century Gothic"/>
          <w:b/>
          <w:i/>
          <w:sz w:val="22"/>
        </w:rPr>
      </w:pPr>
    </w:p>
    <w:bookmarkStart w:id="2" w:name="_MON_1476610650"/>
    <w:bookmarkEnd w:id="2"/>
    <w:p w:rsidR="00AE47A9" w:rsidRDefault="007B6534">
      <w:pPr>
        <w:jc w:val="both"/>
        <w:rPr>
          <w:rFonts w:ascii="Century Gothic" w:hAnsi="Century Gothic"/>
          <w:b/>
          <w:i/>
          <w:sz w:val="22"/>
        </w:rPr>
      </w:pPr>
      <w:r w:rsidRPr="009D11ED">
        <w:rPr>
          <w:rFonts w:ascii="Century Gothic" w:hAnsi="Century Gothic"/>
          <w:b/>
          <w:i/>
          <w:sz w:val="22"/>
        </w:rPr>
        <w:object w:dxaOrig="8118" w:dyaOrig="1165">
          <v:shape id="_x0000_i1035" type="#_x0000_t75" style="width:405.5pt;height:58.4pt" o:ole="" fillcolor="window">
            <v:imagedata r:id="rId29" o:title=""/>
          </v:shape>
          <o:OLEObject Type="Embed" ProgID="Excel.Sheet.8" ShapeID="_x0000_i1035" DrawAspect="Content" ObjectID="_1508312797" r:id="rId30"/>
        </w:object>
      </w:r>
    </w:p>
    <w:p w:rsidR="00642881" w:rsidRDefault="00642881" w:rsidP="00642881">
      <w:pPr>
        <w:jc w:val="both"/>
        <w:rPr>
          <w:rFonts w:ascii="Century Gothic" w:hAnsi="Century Gothic"/>
          <w:b/>
          <w:i/>
          <w:sz w:val="22"/>
        </w:rPr>
      </w:pPr>
    </w:p>
    <w:p w:rsidR="009F3EEF" w:rsidRDefault="009F3EEF" w:rsidP="00642881">
      <w:pPr>
        <w:jc w:val="both"/>
        <w:rPr>
          <w:rFonts w:ascii="Century Gothic" w:hAnsi="Century Gothic"/>
          <w:b/>
          <w:i/>
          <w:sz w:val="22"/>
        </w:rPr>
      </w:pPr>
    </w:p>
    <w:p w:rsidR="00777670" w:rsidRDefault="00777670" w:rsidP="00777670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i/>
          <w:sz w:val="22"/>
        </w:rPr>
        <w:t>20)Proventi Straordinari.</w:t>
      </w:r>
    </w:p>
    <w:p w:rsidR="00777670" w:rsidRDefault="00777670" w:rsidP="00777670">
      <w:pPr>
        <w:jc w:val="both"/>
        <w:rPr>
          <w:rFonts w:ascii="Century Gothic" w:hAnsi="Century Gothic"/>
          <w:sz w:val="22"/>
        </w:rPr>
      </w:pPr>
    </w:p>
    <w:p w:rsidR="00777670" w:rsidRDefault="009F3EEF" w:rsidP="00777670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tale voce vanno ricompresi i</w:t>
      </w:r>
      <w:r w:rsidR="00777670">
        <w:rPr>
          <w:rFonts w:ascii="Century Gothic" w:hAnsi="Century Gothic"/>
          <w:sz w:val="22"/>
        </w:rPr>
        <w:t xml:space="preserve"> proventi contabilizzate dall’Ente  in relazione ad eventi straordinar</w:t>
      </w:r>
      <w:r>
        <w:rPr>
          <w:rFonts w:ascii="Century Gothic" w:hAnsi="Century Gothic"/>
          <w:sz w:val="22"/>
        </w:rPr>
        <w:t>i.</w:t>
      </w:r>
    </w:p>
    <w:p w:rsidR="009F3EEF" w:rsidRDefault="009F3EEF" w:rsidP="00777670">
      <w:pPr>
        <w:jc w:val="both"/>
        <w:rPr>
          <w:rFonts w:ascii="Century Gothic" w:hAnsi="Century Gothic"/>
          <w:b/>
          <w:i/>
          <w:sz w:val="22"/>
        </w:rPr>
      </w:pPr>
    </w:p>
    <w:p w:rsidR="00777670" w:rsidRDefault="007B6534" w:rsidP="00777670">
      <w:pPr>
        <w:jc w:val="both"/>
        <w:rPr>
          <w:rFonts w:ascii="Century Gothic" w:hAnsi="Century Gothic"/>
          <w:b/>
          <w:i/>
          <w:sz w:val="22"/>
        </w:rPr>
      </w:pPr>
      <w:r w:rsidRPr="009D11ED">
        <w:rPr>
          <w:rFonts w:ascii="Century Gothic" w:hAnsi="Century Gothic"/>
          <w:b/>
          <w:i/>
          <w:sz w:val="22"/>
        </w:rPr>
        <w:object w:dxaOrig="8323" w:dyaOrig="1165">
          <v:shape id="_x0000_i1036" type="#_x0000_t75" style="width:416.4pt;height:58.4pt" o:ole="" fillcolor="window">
            <v:imagedata r:id="rId31" o:title=""/>
          </v:shape>
          <o:OLEObject Type="Embed" ProgID="Excel.Sheet.8" ShapeID="_x0000_i1036" DrawAspect="Content" ObjectID="_1508312798" r:id="rId32"/>
        </w:object>
      </w:r>
    </w:p>
    <w:p w:rsidR="00777670" w:rsidRDefault="00777670" w:rsidP="00642881">
      <w:pPr>
        <w:jc w:val="both"/>
        <w:rPr>
          <w:rFonts w:ascii="Century Gothic" w:hAnsi="Century Gothic"/>
          <w:b/>
          <w:i/>
          <w:sz w:val="22"/>
        </w:rPr>
      </w:pPr>
    </w:p>
    <w:p w:rsidR="00777670" w:rsidRDefault="00777670" w:rsidP="00642881">
      <w:pPr>
        <w:jc w:val="both"/>
        <w:rPr>
          <w:rFonts w:ascii="Century Gothic" w:hAnsi="Century Gothic"/>
          <w:b/>
          <w:i/>
          <w:sz w:val="22"/>
        </w:rPr>
      </w:pPr>
    </w:p>
    <w:p w:rsidR="00642881" w:rsidRDefault="00642881" w:rsidP="00642881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i/>
          <w:sz w:val="22"/>
        </w:rPr>
        <w:t>21)Oneri Straordinari.</w:t>
      </w:r>
    </w:p>
    <w:p w:rsidR="00642881" w:rsidRDefault="00341CBA" w:rsidP="00642881">
      <w:pPr>
        <w:jc w:val="both"/>
        <w:rPr>
          <w:rFonts w:ascii="Century Gothic" w:hAnsi="Century Gothic"/>
          <w:b/>
          <w:i/>
          <w:sz w:val="22"/>
        </w:rPr>
      </w:pPr>
      <w:r w:rsidRPr="009D11ED">
        <w:rPr>
          <w:rFonts w:ascii="Century Gothic" w:hAnsi="Century Gothic"/>
          <w:b/>
          <w:i/>
          <w:sz w:val="22"/>
        </w:rPr>
        <w:object w:dxaOrig="8686" w:dyaOrig="1165">
          <v:shape id="_x0000_i1037" type="#_x0000_t75" style="width:434.05pt;height:58.4pt" o:ole="" fillcolor="window">
            <v:imagedata r:id="rId33" o:title=""/>
          </v:shape>
          <o:OLEObject Type="Embed" ProgID="Excel.Sheet.8" ShapeID="_x0000_i1037" DrawAspect="Content" ObjectID="_1508312799" r:id="rId34"/>
        </w:object>
      </w:r>
    </w:p>
    <w:p w:rsidR="00D95688" w:rsidRDefault="00D95688" w:rsidP="00C1624D">
      <w:pPr>
        <w:jc w:val="both"/>
        <w:rPr>
          <w:rFonts w:ascii="Century Gothic" w:hAnsi="Century Gothic"/>
          <w:b/>
          <w:i/>
          <w:sz w:val="22"/>
        </w:rPr>
      </w:pPr>
    </w:p>
    <w:p w:rsidR="00C1624D" w:rsidRDefault="00C1624D" w:rsidP="00C1624D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i/>
          <w:sz w:val="22"/>
        </w:rPr>
        <w:t>22)Imposte sul reddito d’esercizio</w:t>
      </w:r>
    </w:p>
    <w:p w:rsidR="00C1624D" w:rsidRDefault="00C1624D" w:rsidP="00C1624D">
      <w:pPr>
        <w:jc w:val="both"/>
        <w:rPr>
          <w:rFonts w:ascii="Century Gothic" w:hAnsi="Century Gothic"/>
          <w:sz w:val="22"/>
        </w:rPr>
      </w:pPr>
    </w:p>
    <w:p w:rsidR="00C1624D" w:rsidRDefault="00C1624D" w:rsidP="00C1624D">
      <w:pPr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sz w:val="22"/>
        </w:rPr>
        <w:t>In tale voce vanno ricomprese le imposte sul reddito d’esercizio: Ires ed Irap.</w:t>
      </w:r>
    </w:p>
    <w:p w:rsidR="00C1624D" w:rsidRDefault="00A55B7F" w:rsidP="00C1624D">
      <w:pPr>
        <w:jc w:val="both"/>
        <w:rPr>
          <w:rFonts w:ascii="Century Gothic" w:hAnsi="Century Gothic"/>
          <w:b/>
          <w:i/>
          <w:sz w:val="22"/>
        </w:rPr>
      </w:pPr>
      <w:r w:rsidRPr="009D11ED">
        <w:rPr>
          <w:rFonts w:ascii="Century Gothic" w:hAnsi="Century Gothic"/>
          <w:b/>
          <w:i/>
          <w:sz w:val="22"/>
        </w:rPr>
        <w:object w:dxaOrig="8383" w:dyaOrig="1165">
          <v:shape id="_x0000_i1038" type="#_x0000_t75" style="width:418.4pt;height:58.4pt" o:ole="" fillcolor="window">
            <v:imagedata r:id="rId35" o:title=""/>
          </v:shape>
          <o:OLEObject Type="Embed" ProgID="Excel.Sheet.8" ShapeID="_x0000_i1038" DrawAspect="Content" ObjectID="_1508312800" r:id="rId36"/>
        </w:objec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9A08C4" w:rsidRDefault="009A08C4">
      <w:pPr>
        <w:jc w:val="both"/>
        <w:rPr>
          <w:rFonts w:ascii="Verdana" w:hAnsi="Verdana"/>
          <w:b/>
          <w:sz w:val="22"/>
        </w:rPr>
      </w:pPr>
    </w:p>
    <w:p w:rsidR="00AE47A9" w:rsidRDefault="00AE47A9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BUDGET DEGLI INVESTIMENTI / DISMISSIONI</w: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Passiamo ora ad analizzare il </w:t>
      </w:r>
      <w:r>
        <w:rPr>
          <w:rFonts w:ascii="Century Gothic" w:hAnsi="Century Gothic"/>
          <w:b/>
          <w:sz w:val="22"/>
        </w:rPr>
        <w:t>Budget degli investimenti/dismissioni</w:t>
      </w:r>
      <w:r>
        <w:rPr>
          <w:rFonts w:ascii="Century Gothic" w:hAnsi="Century Gothic"/>
          <w:sz w:val="22"/>
        </w:rPr>
        <w:t xml:space="preserve"> redatto in conformità al nuovo Regolamento di Amministrazione e Contabilità contiene l’indicazione degli investimenti/dismissioni che si prevede di effettuare nell’esercizio cui il budget si riferisce. I valori indicati sono riferiti ad eventuali software da integrare o aggiornare</w:t>
      </w:r>
      <w:r w:rsidR="0086665F">
        <w:rPr>
          <w:rFonts w:ascii="Century Gothic" w:hAnsi="Century Gothic"/>
          <w:sz w:val="22"/>
        </w:rPr>
        <w:t xml:space="preserve">, </w:t>
      </w:r>
      <w:r w:rsidR="006C1E74">
        <w:rPr>
          <w:rFonts w:ascii="Century Gothic" w:hAnsi="Century Gothic"/>
          <w:sz w:val="22"/>
        </w:rPr>
        <w:t>all’acquisto del protocollo elettronico</w:t>
      </w:r>
      <w:r>
        <w:rPr>
          <w:rFonts w:ascii="Century Gothic" w:hAnsi="Century Gothic"/>
          <w:sz w:val="22"/>
        </w:rPr>
        <w:t xml:space="preserve">, e ad attrezzature e  macchine elettroniche da dovere sostituire .  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p w:rsidR="00A30EFD" w:rsidRDefault="00A30EFD">
      <w:pPr>
        <w:jc w:val="both"/>
        <w:rPr>
          <w:rFonts w:ascii="Century Gothic" w:hAnsi="Century Gothic"/>
          <w:sz w:val="22"/>
        </w:rPr>
      </w:pPr>
    </w:p>
    <w:p w:rsidR="00A30EFD" w:rsidRDefault="00A30EFD">
      <w:pPr>
        <w:jc w:val="both"/>
        <w:rPr>
          <w:rFonts w:ascii="Century Gothic" w:hAnsi="Century Gothic"/>
          <w:sz w:val="22"/>
        </w:rPr>
      </w:pPr>
    </w:p>
    <w:p w:rsidR="00AE47A9" w:rsidRDefault="006C1E74">
      <w:pPr>
        <w:jc w:val="center"/>
        <w:rPr>
          <w:rFonts w:ascii="Verdana" w:hAnsi="Verdana"/>
          <w:sz w:val="22"/>
        </w:rPr>
      </w:pPr>
      <w:r w:rsidRPr="009D11ED">
        <w:rPr>
          <w:rFonts w:ascii="Verdana" w:hAnsi="Verdana"/>
          <w:sz w:val="22"/>
        </w:rPr>
        <w:object w:dxaOrig="7194" w:dyaOrig="1946">
          <v:shape id="_x0000_i1039" type="#_x0000_t75" style="width:359.3pt;height:97.15pt" o:ole="" fillcolor="window">
            <v:imagedata r:id="rId37" o:title=""/>
          </v:shape>
          <o:OLEObject Type="Embed" ProgID="Excel.Sheet.12" ShapeID="_x0000_i1039" DrawAspect="Content" ObjectID="_1508312801" r:id="rId38"/>
        </w:objec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30EFD" w:rsidRDefault="00A30EFD">
      <w:pPr>
        <w:jc w:val="both"/>
        <w:rPr>
          <w:rFonts w:ascii="Verdana" w:hAnsi="Verdana"/>
          <w:sz w:val="22"/>
        </w:rPr>
      </w:pPr>
    </w:p>
    <w:p w:rsidR="00A30EFD" w:rsidRDefault="00A30EFD">
      <w:pPr>
        <w:jc w:val="both"/>
        <w:rPr>
          <w:rFonts w:ascii="Verdana" w:hAnsi="Verdana"/>
          <w:sz w:val="22"/>
        </w:rPr>
      </w:pPr>
    </w:p>
    <w:p w:rsidR="00A30EFD" w:rsidRDefault="00A30EFD">
      <w:pPr>
        <w:jc w:val="both"/>
        <w:rPr>
          <w:rFonts w:ascii="Verdana" w:hAnsi="Verdana"/>
          <w:sz w:val="22"/>
        </w:rPr>
      </w:pPr>
    </w:p>
    <w:p w:rsidR="00A30EFD" w:rsidRDefault="00A30EFD">
      <w:pPr>
        <w:jc w:val="both"/>
        <w:rPr>
          <w:rFonts w:ascii="Verdana" w:hAnsi="Verdana"/>
          <w:sz w:val="22"/>
        </w:rPr>
      </w:pPr>
    </w:p>
    <w:p w:rsidR="00B93C2A" w:rsidRDefault="00B93C2A">
      <w:pPr>
        <w:jc w:val="both"/>
        <w:rPr>
          <w:rFonts w:ascii="Verdana" w:hAnsi="Verdana"/>
          <w:sz w:val="22"/>
        </w:rPr>
      </w:pPr>
    </w:p>
    <w:p w:rsidR="006F626D" w:rsidRDefault="006F626D" w:rsidP="006F626D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BUDGET DI TESORERIA</w: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Nella valorizzazione del Budget di Tesoreria si è tenuto presente dei flussi in entrata e in uscita della gestione economica, patrimoniale f</w:t>
      </w:r>
      <w:r w:rsidR="008961A5">
        <w:rPr>
          <w:rFonts w:ascii="Century Gothic" w:hAnsi="Century Gothic"/>
          <w:sz w:val="22"/>
        </w:rPr>
        <w:t>inanziaria  prevista per il 2016</w:t>
      </w:r>
      <w:r>
        <w:rPr>
          <w:rFonts w:ascii="Century Gothic" w:hAnsi="Century Gothic"/>
          <w:sz w:val="22"/>
        </w:rPr>
        <w:t xml:space="preserve"> , tenendo conto, oltre che della gestione finanziaria di com</w:t>
      </w:r>
      <w:r w:rsidR="008961A5">
        <w:rPr>
          <w:rFonts w:ascii="Century Gothic" w:hAnsi="Century Gothic"/>
          <w:sz w:val="22"/>
        </w:rPr>
        <w:t>petenza 2016</w:t>
      </w:r>
      <w:r>
        <w:rPr>
          <w:rFonts w:ascii="Century Gothic" w:hAnsi="Century Gothic"/>
          <w:sz w:val="22"/>
        </w:rPr>
        <w:t>, anche delle entrate e delle uscite riferite a ricavi e costi relativi ad anni passati che troveranno man</w:t>
      </w:r>
      <w:r w:rsidR="008961A5">
        <w:rPr>
          <w:rFonts w:ascii="Century Gothic" w:hAnsi="Century Gothic"/>
          <w:sz w:val="22"/>
        </w:rPr>
        <w:t>ifestazione finanziaria nel 2016</w:t>
      </w:r>
      <w:r>
        <w:rPr>
          <w:rFonts w:ascii="Century Gothic" w:hAnsi="Century Gothic"/>
          <w:sz w:val="22"/>
        </w:rPr>
        <w:t>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La gestione finanziaria</w:t>
      </w:r>
      <w:r w:rsidR="00BB006A">
        <w:rPr>
          <w:rFonts w:ascii="Century Gothic" w:hAnsi="Century Gothic"/>
          <w:sz w:val="22"/>
        </w:rPr>
        <w:t xml:space="preserve"> positiva di competenza del 201</w:t>
      </w:r>
      <w:r w:rsidR="008961A5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 xml:space="preserve"> andrà a risanare parzialmente l'indebitamento che l'Ente ha accumulato nel corso degli anni .</w:t>
      </w:r>
    </w:p>
    <w:p w:rsidR="00AE47A9" w:rsidRDefault="00AE47A9">
      <w:pPr>
        <w:jc w:val="both"/>
        <w:rPr>
          <w:rFonts w:ascii="Century Gothic" w:hAnsi="Century Gothic"/>
          <w:sz w:val="22"/>
        </w:rPr>
      </w:pPr>
    </w:p>
    <w:bookmarkStart w:id="3" w:name="_MON_1476013351"/>
    <w:bookmarkEnd w:id="3"/>
    <w:p w:rsidR="00AE47A9" w:rsidRDefault="00BF59E3">
      <w:pPr>
        <w:rPr>
          <w:rFonts w:ascii="Verdana" w:hAnsi="Verdana"/>
          <w:sz w:val="22"/>
        </w:rPr>
      </w:pPr>
      <w:r w:rsidRPr="009D11ED">
        <w:rPr>
          <w:rFonts w:ascii="Verdana" w:hAnsi="Verdana"/>
          <w:sz w:val="22"/>
        </w:rPr>
        <w:object w:dxaOrig="9744" w:dyaOrig="1929">
          <v:shape id="_x0000_i1040" type="#_x0000_t75" style="width:487pt;height:96.45pt" o:ole="" fillcolor="window">
            <v:imagedata r:id="rId39" o:title=""/>
          </v:shape>
          <o:OLEObject Type="Embed" ProgID="Excel.Sheet.12" ShapeID="_x0000_i1040" DrawAspect="Content" ObjectID="_1508312802" r:id="rId40"/>
        </w:object>
      </w:r>
    </w:p>
    <w:p w:rsidR="00AE47A9" w:rsidRDefault="00AE47A9">
      <w:pPr>
        <w:jc w:val="both"/>
        <w:rPr>
          <w:rFonts w:ascii="Verdana" w:hAnsi="Verdana"/>
          <w:sz w:val="22"/>
        </w:rPr>
      </w:pPr>
    </w:p>
    <w:p w:rsidR="00AE47A9" w:rsidRDefault="00522389" w:rsidP="00D95688">
      <w:pPr>
        <w:tabs>
          <w:tab w:val="center" w:pos="4645"/>
        </w:tabs>
        <w:ind w:firstLine="360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PI</w:t>
      </w:r>
      <w:r w:rsidR="008961A5">
        <w:rPr>
          <w:rFonts w:ascii="Century Gothic" w:hAnsi="Century Gothic"/>
          <w:b/>
          <w:sz w:val="22"/>
        </w:rPr>
        <w:t>ANTA ORGANICA  AL 30/06/2015</w:t>
      </w:r>
    </w:p>
    <w:p w:rsidR="003D1F68" w:rsidRDefault="003D1F68">
      <w:pPr>
        <w:ind w:firstLine="709"/>
        <w:jc w:val="both"/>
        <w:rPr>
          <w:rFonts w:ascii="Century Gothic" w:hAnsi="Century Gothic"/>
          <w:sz w:val="22"/>
        </w:rPr>
      </w:pPr>
    </w:p>
    <w:p w:rsidR="00AE47A9" w:rsidRDefault="003D1F68">
      <w:pPr>
        <w:ind w:firstLine="709"/>
        <w:jc w:val="center"/>
        <w:rPr>
          <w:rFonts w:ascii="Century Gothic" w:hAnsi="Century Gothic"/>
          <w:sz w:val="22"/>
        </w:rPr>
      </w:pPr>
      <w:r w:rsidRPr="009D11ED">
        <w:rPr>
          <w:rFonts w:ascii="Century Gothic" w:hAnsi="Century Gothic"/>
          <w:sz w:val="22"/>
        </w:rPr>
        <w:object w:dxaOrig="10354" w:dyaOrig="5016">
          <v:shape id="_x0000_i1041" type="#_x0000_t75" style="width:386.5pt;height:192.9pt" o:ole="" fillcolor="window">
            <v:imagedata r:id="rId41" o:title=""/>
          </v:shape>
          <o:OLEObject Type="Embed" ProgID="Excel.Sheet.8" ShapeID="_x0000_i1041" DrawAspect="Content" ObjectID="_1508312803" r:id="rId42"/>
        </w:object>
      </w:r>
    </w:p>
    <w:p w:rsidR="00AE47A9" w:rsidRDefault="00AE47A9">
      <w:pPr>
        <w:ind w:firstLine="709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sz w:val="22"/>
        </w:rPr>
        <w:t xml:space="preserve">        </w:t>
      </w:r>
      <w:r>
        <w:rPr>
          <w:rFonts w:ascii="Century Gothic" w:hAnsi="Century Gothic"/>
          <w:b/>
        </w:rPr>
        <w:t>Tab. 4</w:t>
      </w:r>
    </w:p>
    <w:p w:rsidR="00AE47A9" w:rsidRDefault="00AE47A9">
      <w:pPr>
        <w:ind w:firstLine="709"/>
        <w:jc w:val="both"/>
        <w:rPr>
          <w:rFonts w:ascii="Century Gothic" w:hAnsi="Century Gothic"/>
          <w:sz w:val="22"/>
        </w:rPr>
      </w:pPr>
    </w:p>
    <w:p w:rsidR="00AE47A9" w:rsidRDefault="00AE47A9">
      <w:pPr>
        <w:ind w:firstLine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La su esposta pianta organica, rif</w:t>
      </w:r>
      <w:r w:rsidR="00D95688">
        <w:rPr>
          <w:rFonts w:ascii="Century Gothic" w:hAnsi="Century Gothic"/>
          <w:sz w:val="22"/>
        </w:rPr>
        <w:t>erita al personale al 30/06/2014</w:t>
      </w:r>
      <w:r>
        <w:rPr>
          <w:rFonts w:ascii="Century Gothic" w:hAnsi="Century Gothic"/>
          <w:sz w:val="22"/>
        </w:rPr>
        <w:t>, è stata rideterminata a settembre 2012 nel rispetto delle disposizioni in materia di riduzione dei costi del personale.</w:t>
      </w:r>
    </w:p>
    <w:p w:rsidR="00C4221C" w:rsidRDefault="00C4221C">
      <w:pPr>
        <w:ind w:left="3545" w:firstLine="709"/>
        <w:jc w:val="both"/>
        <w:rPr>
          <w:rFonts w:ascii="Century Gothic" w:hAnsi="Century Gothic"/>
          <w:sz w:val="22"/>
        </w:rPr>
      </w:pPr>
    </w:p>
    <w:p w:rsidR="00717D1F" w:rsidRDefault="00717D1F" w:rsidP="00717D1F">
      <w:pPr>
        <w:ind w:firstLine="709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*********</w:t>
      </w:r>
    </w:p>
    <w:p w:rsidR="00717D1F" w:rsidRDefault="00717D1F" w:rsidP="00A2051C">
      <w:pPr>
        <w:ind w:firstLine="709"/>
        <w:jc w:val="both"/>
        <w:rPr>
          <w:rFonts w:ascii="Century Gothic" w:hAnsi="Century Gothic"/>
          <w:sz w:val="22"/>
        </w:rPr>
      </w:pPr>
    </w:p>
    <w:p w:rsidR="003C1DB6" w:rsidRDefault="00712558" w:rsidP="00A2051C">
      <w:pPr>
        <w:ind w:firstLine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Le previsioni contenute nel Budget 201</w:t>
      </w:r>
      <w:r w:rsidR="00283F4D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 xml:space="preserve"> </w:t>
      </w:r>
      <w:r w:rsidR="003C1DB6">
        <w:rPr>
          <w:rFonts w:ascii="Century Gothic" w:hAnsi="Century Gothic"/>
          <w:sz w:val="22"/>
        </w:rPr>
        <w:t xml:space="preserve">e nel Budget pluriennale </w:t>
      </w:r>
      <w:r w:rsidR="006F626D">
        <w:rPr>
          <w:rFonts w:ascii="Century Gothic" w:hAnsi="Century Gothic"/>
          <w:sz w:val="22"/>
        </w:rPr>
        <w:t xml:space="preserve">che seguirà, </w:t>
      </w:r>
      <w:r>
        <w:rPr>
          <w:rFonts w:ascii="Century Gothic" w:hAnsi="Century Gothic"/>
          <w:sz w:val="22"/>
        </w:rPr>
        <w:t xml:space="preserve">rispecchiano la volontà dell’Ente di porre in essere una gestione </w:t>
      </w:r>
      <w:r w:rsidR="00717D1F">
        <w:rPr>
          <w:rFonts w:ascii="Century Gothic" w:hAnsi="Century Gothic"/>
          <w:sz w:val="22"/>
        </w:rPr>
        <w:t xml:space="preserve">ispirata ai principi dell’efficienza e dell’economicità, </w:t>
      </w:r>
      <w:r>
        <w:rPr>
          <w:rFonts w:ascii="Century Gothic" w:hAnsi="Century Gothic"/>
          <w:sz w:val="22"/>
        </w:rPr>
        <w:t xml:space="preserve">volta a garantire  un equilibrio sia economico che finanziario </w:t>
      </w:r>
      <w:r w:rsidR="00A2051C">
        <w:rPr>
          <w:rFonts w:ascii="Century Gothic" w:hAnsi="Century Gothic"/>
          <w:sz w:val="22"/>
        </w:rPr>
        <w:t>ed  a perseguire il progetto di risanamento del deficit patrimoniale dell’</w:t>
      </w:r>
      <w:r w:rsidR="003C1DB6">
        <w:rPr>
          <w:rFonts w:ascii="Century Gothic" w:hAnsi="Century Gothic"/>
          <w:sz w:val="22"/>
        </w:rPr>
        <w:t xml:space="preserve">Ente. </w:t>
      </w:r>
    </w:p>
    <w:p w:rsidR="00A2051C" w:rsidRDefault="003C1DB6" w:rsidP="00A2051C">
      <w:pPr>
        <w:ind w:firstLine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</w:t>
      </w:r>
      <w:r w:rsidR="00A2051C">
        <w:rPr>
          <w:rFonts w:ascii="Century Gothic" w:hAnsi="Century Gothic"/>
          <w:sz w:val="22"/>
        </w:rPr>
        <w:t xml:space="preserve"> </w:t>
      </w:r>
    </w:p>
    <w:p w:rsidR="006000D1" w:rsidRDefault="003C1DB6">
      <w:pPr>
        <w:pStyle w:val="notaintegrativatabelle"/>
        <w:spacing w:line="240" w:lineRule="auto"/>
        <w:ind w:firstLine="709"/>
        <w:outlineLvl w:val="0"/>
        <w:rPr>
          <w:rFonts w:ascii="Century Gothic" w:hAnsi="Century Gothic"/>
          <w:b w:val="0"/>
          <w:sz w:val="22"/>
        </w:rPr>
      </w:pPr>
      <w:r>
        <w:rPr>
          <w:rFonts w:ascii="Century Gothic" w:hAnsi="Century Gothic"/>
          <w:b w:val="0"/>
          <w:sz w:val="22"/>
        </w:rPr>
        <w:t>Come evidenziato nel Budget pluriennale l’</w:t>
      </w:r>
      <w:r w:rsidR="00717D1F">
        <w:rPr>
          <w:rFonts w:ascii="Century Gothic" w:hAnsi="Century Gothic"/>
          <w:b w:val="0"/>
          <w:sz w:val="22"/>
        </w:rPr>
        <w:t>A</w:t>
      </w:r>
      <w:r>
        <w:rPr>
          <w:rFonts w:ascii="Century Gothic" w:hAnsi="Century Gothic"/>
          <w:b w:val="0"/>
          <w:sz w:val="22"/>
        </w:rPr>
        <w:t xml:space="preserve">utomobile </w:t>
      </w:r>
      <w:r w:rsidR="00717D1F">
        <w:rPr>
          <w:rFonts w:ascii="Century Gothic" w:hAnsi="Century Gothic"/>
          <w:b w:val="0"/>
          <w:sz w:val="22"/>
        </w:rPr>
        <w:t>C</w:t>
      </w:r>
      <w:r>
        <w:rPr>
          <w:rFonts w:ascii="Century Gothic" w:hAnsi="Century Gothic"/>
          <w:b w:val="0"/>
          <w:sz w:val="22"/>
        </w:rPr>
        <w:t>lub Rieti, grazie alla  ristrutturazione avvenuta negli anni passati</w:t>
      </w:r>
      <w:r w:rsidR="0086665F">
        <w:rPr>
          <w:rFonts w:ascii="Century Gothic" w:hAnsi="Century Gothic"/>
          <w:b w:val="0"/>
          <w:sz w:val="22"/>
        </w:rPr>
        <w:t>,</w:t>
      </w:r>
      <w:r>
        <w:rPr>
          <w:rFonts w:ascii="Century Gothic" w:hAnsi="Century Gothic"/>
          <w:b w:val="0"/>
          <w:sz w:val="22"/>
        </w:rPr>
        <w:t xml:space="preserve"> </w:t>
      </w:r>
      <w:r w:rsidR="00717D1F">
        <w:rPr>
          <w:rFonts w:ascii="Century Gothic" w:hAnsi="Century Gothic"/>
          <w:b w:val="0"/>
          <w:sz w:val="22"/>
        </w:rPr>
        <w:t xml:space="preserve"> ha raggiunto una</w:t>
      </w:r>
      <w:r w:rsidR="009E10F4">
        <w:rPr>
          <w:rFonts w:ascii="Century Gothic" w:hAnsi="Century Gothic"/>
          <w:b w:val="0"/>
          <w:sz w:val="22"/>
        </w:rPr>
        <w:t xml:space="preserve"> stabilizzazione</w:t>
      </w:r>
      <w:r w:rsidR="006000D1">
        <w:rPr>
          <w:rFonts w:ascii="Century Gothic" w:hAnsi="Century Gothic"/>
          <w:b w:val="0"/>
          <w:sz w:val="22"/>
        </w:rPr>
        <w:t xml:space="preserve"> </w:t>
      </w:r>
      <w:r>
        <w:rPr>
          <w:rFonts w:ascii="Century Gothic" w:hAnsi="Century Gothic"/>
          <w:b w:val="0"/>
          <w:sz w:val="22"/>
        </w:rPr>
        <w:t xml:space="preserve"> dei </w:t>
      </w:r>
      <w:r w:rsidR="00717D1F">
        <w:rPr>
          <w:rFonts w:ascii="Century Gothic" w:hAnsi="Century Gothic"/>
          <w:b w:val="0"/>
          <w:sz w:val="22"/>
        </w:rPr>
        <w:t>ricavi</w:t>
      </w:r>
      <w:r>
        <w:rPr>
          <w:rFonts w:ascii="Century Gothic" w:hAnsi="Century Gothic"/>
          <w:b w:val="0"/>
          <w:sz w:val="22"/>
        </w:rPr>
        <w:t xml:space="preserve"> e dei </w:t>
      </w:r>
      <w:r w:rsidR="00717D1F">
        <w:rPr>
          <w:rFonts w:ascii="Century Gothic" w:hAnsi="Century Gothic"/>
          <w:b w:val="0"/>
          <w:sz w:val="22"/>
        </w:rPr>
        <w:t>costi</w:t>
      </w:r>
      <w:r>
        <w:rPr>
          <w:rFonts w:ascii="Century Gothic" w:hAnsi="Century Gothic"/>
          <w:b w:val="0"/>
          <w:sz w:val="22"/>
        </w:rPr>
        <w:t xml:space="preserve"> </w:t>
      </w:r>
      <w:r w:rsidR="006000D1">
        <w:rPr>
          <w:rFonts w:ascii="Century Gothic" w:hAnsi="Century Gothic"/>
          <w:b w:val="0"/>
          <w:sz w:val="22"/>
        </w:rPr>
        <w:t>, sui quali non è più possibile, data la struttura e le limitate risorse, intervenite ulteriormente.</w:t>
      </w:r>
    </w:p>
    <w:p w:rsidR="00AE47A9" w:rsidRDefault="00AE47A9">
      <w:pPr>
        <w:pStyle w:val="notaintegrativatabelle"/>
        <w:outlineLvl w:val="0"/>
        <w:rPr>
          <w:rFonts w:ascii="Century Gothic" w:hAnsi="Century Gothic"/>
          <w:b w:val="0"/>
          <w:sz w:val="22"/>
        </w:rPr>
      </w:pPr>
      <w:r>
        <w:rPr>
          <w:rFonts w:ascii="Century Gothic" w:hAnsi="Century Gothic"/>
          <w:b w:val="0"/>
          <w:sz w:val="22"/>
        </w:rPr>
        <w:t xml:space="preserve">Di seguito viene riportato il piano </w:t>
      </w:r>
      <w:r w:rsidR="00962D7E">
        <w:rPr>
          <w:rFonts w:ascii="Century Gothic" w:hAnsi="Century Gothic"/>
          <w:b w:val="0"/>
          <w:sz w:val="22"/>
        </w:rPr>
        <w:t>di risanamento quinquennale 201</w:t>
      </w:r>
      <w:r w:rsidR="00A55B7F">
        <w:rPr>
          <w:rFonts w:ascii="Century Gothic" w:hAnsi="Century Gothic"/>
          <w:b w:val="0"/>
          <w:sz w:val="22"/>
        </w:rPr>
        <w:t>6-2020</w:t>
      </w:r>
      <w:r>
        <w:rPr>
          <w:rFonts w:ascii="Century Gothic" w:hAnsi="Century Gothic"/>
          <w:b w:val="0"/>
          <w:sz w:val="22"/>
        </w:rPr>
        <w:t>:</w:t>
      </w:r>
    </w:p>
    <w:p w:rsidR="00AE47A9" w:rsidRDefault="00AE47A9">
      <w:pPr>
        <w:pStyle w:val="notaintegrativatabelle"/>
        <w:jc w:val="center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PIANO DI RISANAMENTO PLURIENNALE 201</w:t>
      </w:r>
      <w:r w:rsidR="00CF680B">
        <w:rPr>
          <w:rFonts w:ascii="Century Gothic" w:hAnsi="Century Gothic"/>
          <w:sz w:val="22"/>
        </w:rPr>
        <w:t>5</w:t>
      </w:r>
      <w:r>
        <w:rPr>
          <w:rFonts w:ascii="Century Gothic" w:hAnsi="Century Gothic"/>
          <w:sz w:val="22"/>
        </w:rPr>
        <w:t>-201</w:t>
      </w:r>
      <w:r w:rsidR="00CF680B">
        <w:rPr>
          <w:rFonts w:ascii="Century Gothic" w:hAnsi="Century Gothic"/>
          <w:sz w:val="22"/>
        </w:rPr>
        <w:t>9</w:t>
      </w:r>
    </w:p>
    <w:p w:rsidR="00AE47A9" w:rsidRDefault="00AE47A9">
      <w:pPr>
        <w:pStyle w:val="notaintegrativatabelle"/>
        <w:spacing w:line="240" w:lineRule="auto"/>
        <w:ind w:firstLine="709"/>
        <w:outlineLvl w:val="0"/>
        <w:rPr>
          <w:rFonts w:ascii="Century Gothic" w:hAnsi="Century Gothic"/>
          <w:b w:val="0"/>
          <w:sz w:val="22"/>
        </w:rPr>
      </w:pPr>
      <w:r>
        <w:rPr>
          <w:rFonts w:ascii="Century Gothic" w:hAnsi="Century Gothic"/>
          <w:b w:val="0"/>
          <w:sz w:val="22"/>
        </w:rPr>
        <w:t>Il deficit patrimoniale dell'Automobi</w:t>
      </w:r>
      <w:r w:rsidR="00962D7E">
        <w:rPr>
          <w:rFonts w:ascii="Century Gothic" w:hAnsi="Century Gothic"/>
          <w:b w:val="0"/>
          <w:sz w:val="22"/>
        </w:rPr>
        <w:t>le Club  previsto al 31/12/201</w:t>
      </w:r>
      <w:r w:rsidR="00A55B7F">
        <w:rPr>
          <w:rFonts w:ascii="Century Gothic" w:hAnsi="Century Gothic"/>
          <w:b w:val="0"/>
          <w:sz w:val="22"/>
        </w:rPr>
        <w:t>5</w:t>
      </w:r>
      <w:r w:rsidR="00785EA2">
        <w:rPr>
          <w:rFonts w:ascii="Century Gothic" w:hAnsi="Century Gothic"/>
          <w:b w:val="0"/>
          <w:sz w:val="22"/>
        </w:rPr>
        <w:t xml:space="preserve">, è pari ad     € - </w:t>
      </w:r>
      <w:r w:rsidR="00CA4DD4">
        <w:rPr>
          <w:rFonts w:ascii="Century Gothic" w:hAnsi="Century Gothic"/>
          <w:b w:val="0"/>
          <w:sz w:val="22"/>
        </w:rPr>
        <w:t>909.626.43 ( € 924.626,43 deficit</w:t>
      </w:r>
      <w:r>
        <w:rPr>
          <w:rFonts w:ascii="Century Gothic" w:hAnsi="Century Gothic"/>
          <w:b w:val="0"/>
          <w:sz w:val="22"/>
        </w:rPr>
        <w:t xml:space="preserve"> al 31/12/201</w:t>
      </w:r>
      <w:r w:rsidR="00CA4DD4">
        <w:rPr>
          <w:rFonts w:ascii="Century Gothic" w:hAnsi="Century Gothic"/>
          <w:b w:val="0"/>
          <w:sz w:val="22"/>
        </w:rPr>
        <w:t>4</w:t>
      </w:r>
      <w:r w:rsidR="00785EA2">
        <w:rPr>
          <w:rFonts w:ascii="Century Gothic" w:hAnsi="Century Gothic"/>
          <w:b w:val="0"/>
          <w:sz w:val="22"/>
        </w:rPr>
        <w:t xml:space="preserve"> –</w:t>
      </w:r>
      <w:r>
        <w:rPr>
          <w:rFonts w:ascii="Century Gothic" w:hAnsi="Century Gothic"/>
          <w:b w:val="0"/>
          <w:sz w:val="22"/>
        </w:rPr>
        <w:t xml:space="preserve"> 1</w:t>
      </w:r>
      <w:r w:rsidR="00CA4DD4">
        <w:rPr>
          <w:rFonts w:ascii="Century Gothic" w:hAnsi="Century Gothic"/>
          <w:b w:val="0"/>
          <w:sz w:val="22"/>
        </w:rPr>
        <w:t>5.000</w:t>
      </w:r>
      <w:r w:rsidR="00962D7E">
        <w:rPr>
          <w:rFonts w:ascii="Century Gothic" w:hAnsi="Century Gothic"/>
          <w:b w:val="0"/>
          <w:sz w:val="22"/>
        </w:rPr>
        <w:t>,00 ultile previsto al 31/12/201</w:t>
      </w:r>
      <w:r w:rsidR="00CA4DD4">
        <w:rPr>
          <w:rFonts w:ascii="Century Gothic" w:hAnsi="Century Gothic"/>
          <w:b w:val="0"/>
          <w:sz w:val="22"/>
        </w:rPr>
        <w:t>5</w:t>
      </w:r>
      <w:r w:rsidR="00CF680B">
        <w:rPr>
          <w:rFonts w:ascii="Century Gothic" w:hAnsi="Century Gothic"/>
          <w:b w:val="0"/>
          <w:sz w:val="22"/>
        </w:rPr>
        <w:t>)</w:t>
      </w:r>
      <w:r>
        <w:rPr>
          <w:rFonts w:ascii="Century Gothic" w:hAnsi="Century Gothic"/>
          <w:b w:val="0"/>
          <w:sz w:val="22"/>
        </w:rPr>
        <w:t xml:space="preserve"> .</w:t>
      </w:r>
    </w:p>
    <w:p w:rsidR="00AE47A9" w:rsidRDefault="00AE47A9">
      <w:pPr>
        <w:pStyle w:val="notaintegrativatabelle"/>
        <w:spacing w:line="240" w:lineRule="auto"/>
        <w:outlineLvl w:val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Sezione analitica:</w:t>
      </w:r>
    </w:p>
    <w:p w:rsidR="00AE47A9" w:rsidRDefault="00AE47A9">
      <w:pPr>
        <w:pStyle w:val="notaintegrativatabelle"/>
        <w:spacing w:line="240" w:lineRule="auto"/>
        <w:outlineLvl w:val="0"/>
        <w:rPr>
          <w:rFonts w:ascii="Century Gothic" w:hAnsi="Century Gothic"/>
          <w:b w:val="0"/>
          <w:sz w:val="22"/>
        </w:rPr>
      </w:pPr>
      <w:r>
        <w:rPr>
          <w:rFonts w:ascii="Century Gothic" w:hAnsi="Century Gothic"/>
          <w:b w:val="0"/>
          <w:sz w:val="22"/>
        </w:rPr>
        <w:t xml:space="preserve">La tabella dimostrativa del riassorbimento del deficit patrimoniale, che segue, si compone di due parti, una dedicata all'illustrazione del riassorbimento del deficit patrimoniale che si intende </w:t>
      </w:r>
      <w:r w:rsidR="00962D7E">
        <w:rPr>
          <w:rFonts w:ascii="Century Gothic" w:hAnsi="Century Gothic"/>
          <w:b w:val="0"/>
          <w:sz w:val="22"/>
        </w:rPr>
        <w:t>attuare nell'anno di budget 201</w:t>
      </w:r>
      <w:r w:rsidR="00CA4DD4">
        <w:rPr>
          <w:rFonts w:ascii="Century Gothic" w:hAnsi="Century Gothic"/>
          <w:b w:val="0"/>
          <w:sz w:val="22"/>
        </w:rPr>
        <w:t>6</w:t>
      </w:r>
      <w:r>
        <w:rPr>
          <w:rFonts w:ascii="Century Gothic" w:hAnsi="Century Gothic"/>
          <w:b w:val="0"/>
          <w:sz w:val="22"/>
        </w:rPr>
        <w:t xml:space="preserve"> e l'altra dedicata all'indicazione degli interventi pianificati a riduzione del deficit patrimoniale nei quattro esercizi successivi.</w:t>
      </w:r>
    </w:p>
    <w:p w:rsidR="00AE47A9" w:rsidRDefault="00962D7E">
      <w:pPr>
        <w:pStyle w:val="notaintegrativatabelle"/>
        <w:spacing w:line="240" w:lineRule="auto"/>
        <w:outlineLvl w:val="0"/>
        <w:rPr>
          <w:rFonts w:ascii="Century Gothic" w:hAnsi="Century Gothic"/>
          <w:b w:val="0"/>
          <w:sz w:val="22"/>
        </w:rPr>
      </w:pPr>
      <w:r>
        <w:rPr>
          <w:rFonts w:ascii="Century Gothic" w:hAnsi="Century Gothic"/>
          <w:b w:val="0"/>
          <w:sz w:val="22"/>
        </w:rPr>
        <w:t>Relativamente all'anno  201</w:t>
      </w:r>
      <w:r w:rsidR="00CA4DD4">
        <w:rPr>
          <w:rFonts w:ascii="Century Gothic" w:hAnsi="Century Gothic"/>
          <w:b w:val="0"/>
          <w:sz w:val="22"/>
        </w:rPr>
        <w:t>6</w:t>
      </w:r>
      <w:r w:rsidR="00AE47A9">
        <w:rPr>
          <w:rFonts w:ascii="Century Gothic" w:hAnsi="Century Gothic"/>
          <w:b w:val="0"/>
          <w:sz w:val="22"/>
        </w:rPr>
        <w:t xml:space="preserve">, la descrizione analitica degli interventi previsti  a riduzione del deficit patrimoniale trova esposizione nella presente Relazione  a commento del budget economico.  </w:t>
      </w:r>
    </w:p>
    <w:p w:rsidR="00AE47A9" w:rsidRDefault="00AE47A9">
      <w:pPr>
        <w:pStyle w:val="notaintegrativatabelle"/>
        <w:outlineLvl w:val="0"/>
        <w:rPr>
          <w:rFonts w:ascii="Century Gothic" w:hAnsi="Century Gothic"/>
          <w:b w:val="0"/>
          <w:sz w:val="24"/>
        </w:rPr>
      </w:pPr>
    </w:p>
    <w:p w:rsidR="00AE47A9" w:rsidRDefault="00AE47A9">
      <w:pPr>
        <w:pStyle w:val="notaintegrativatabel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TABELLA DIMOSTRATIVA DI RIASSORBIMENTO DEL DEFICIT PATRIMONIALE</w:t>
      </w:r>
    </w:p>
    <w:p w:rsidR="00AE47A9" w:rsidRDefault="008961A5">
      <w:pPr>
        <w:pStyle w:val="notaintegrativatabell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BUDGET ANNO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3046"/>
      </w:tblGrid>
      <w:tr w:rsidR="00AE47A9">
        <w:tc>
          <w:tcPr>
            <w:tcW w:w="6024" w:type="dxa"/>
          </w:tcPr>
          <w:p w:rsidR="00AE47A9" w:rsidRDefault="00AE47A9" w:rsidP="00CA4DD4">
            <w:pPr>
              <w:pStyle w:val="notaintegrativatabelle"/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 Deficit pat</w:t>
            </w:r>
            <w:r w:rsidR="00CF680B">
              <w:rPr>
                <w:rFonts w:ascii="Century Gothic" w:hAnsi="Century Gothic"/>
                <w:b w:val="0"/>
              </w:rPr>
              <w:t>rimoniale previsto al 31/12/201</w:t>
            </w:r>
            <w:r w:rsidR="00CA4DD4">
              <w:rPr>
                <w:rFonts w:ascii="Century Gothic" w:hAnsi="Century Gothic"/>
                <w:b w:val="0"/>
              </w:rPr>
              <w:t>5</w:t>
            </w:r>
            <w:r>
              <w:rPr>
                <w:rFonts w:ascii="Century Gothic" w:hAnsi="Century Gothic"/>
                <w:b w:val="0"/>
              </w:rPr>
              <w:t xml:space="preserve">       </w:t>
            </w:r>
            <w:r>
              <w:rPr>
                <w:rFonts w:ascii="Century Gothic" w:hAnsi="Century Gothic"/>
                <w:u w:val="single"/>
              </w:rPr>
              <w:t>P</w:t>
            </w:r>
            <w:r>
              <w:rPr>
                <w:rFonts w:ascii="Century Gothic" w:hAnsi="Century Gothic"/>
                <w:b w:val="0"/>
              </w:rPr>
              <w:t xml:space="preserve">         A</w:t>
            </w:r>
          </w:p>
        </w:tc>
        <w:tc>
          <w:tcPr>
            <w:tcW w:w="3046" w:type="dxa"/>
          </w:tcPr>
          <w:p w:rsidR="00AE47A9" w:rsidRDefault="00AE47A9" w:rsidP="00DD5E46">
            <w:pPr>
              <w:pStyle w:val="notaintegrativatabelle"/>
              <w:spacing w:line="240" w:lineRule="auto"/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€ - </w:t>
            </w:r>
            <w:r w:rsidR="00CA4DD4">
              <w:rPr>
                <w:rFonts w:ascii="Century Gothic" w:hAnsi="Century Gothic"/>
                <w:b w:val="0"/>
              </w:rPr>
              <w:t>909.626,43</w:t>
            </w:r>
          </w:p>
        </w:tc>
      </w:tr>
      <w:tr w:rsidR="00AE47A9">
        <w:tc>
          <w:tcPr>
            <w:tcW w:w="6024" w:type="dxa"/>
          </w:tcPr>
          <w:p w:rsidR="00AE47A9" w:rsidRDefault="00AE47A9">
            <w:pPr>
              <w:pStyle w:val="notaintegrativatabelle"/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+ Util</w:t>
            </w:r>
            <w:r w:rsidR="00D2128E">
              <w:rPr>
                <w:rFonts w:ascii="Century Gothic" w:hAnsi="Century Gothic"/>
                <w:b w:val="0"/>
              </w:rPr>
              <w:t>e  previsto per l'esercizio 201</w:t>
            </w:r>
            <w:r w:rsidR="00CA4DD4">
              <w:rPr>
                <w:rFonts w:ascii="Century Gothic" w:hAnsi="Century Gothic"/>
                <w:b w:val="0"/>
              </w:rPr>
              <w:t>6</w:t>
            </w:r>
          </w:p>
        </w:tc>
        <w:tc>
          <w:tcPr>
            <w:tcW w:w="3046" w:type="dxa"/>
          </w:tcPr>
          <w:p w:rsidR="00AE47A9" w:rsidRDefault="00AE47A9">
            <w:pPr>
              <w:pStyle w:val="notaintegrativatabelle"/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€ 15.000,00</w:t>
            </w:r>
          </w:p>
        </w:tc>
      </w:tr>
      <w:tr w:rsidR="00AE47A9">
        <w:tc>
          <w:tcPr>
            <w:tcW w:w="6024" w:type="dxa"/>
          </w:tcPr>
          <w:p w:rsidR="00AE47A9" w:rsidRDefault="00AE47A9">
            <w:pPr>
              <w:pStyle w:val="notaintegrativatabelle"/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= Deficit patrimoniale presunto al 31/12/201</w:t>
            </w:r>
            <w:r w:rsidR="00CA4DD4">
              <w:rPr>
                <w:rFonts w:ascii="Century Gothic" w:hAnsi="Century Gothic"/>
                <w:b w:val="0"/>
              </w:rPr>
              <w:t>6</w:t>
            </w:r>
          </w:p>
        </w:tc>
        <w:tc>
          <w:tcPr>
            <w:tcW w:w="3046" w:type="dxa"/>
          </w:tcPr>
          <w:p w:rsidR="00AE47A9" w:rsidRDefault="00D2128E" w:rsidP="00CA4DD4">
            <w:pPr>
              <w:pStyle w:val="notaintegrativatabelle"/>
              <w:outlineLvl w:val="0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€ - </w:t>
            </w:r>
            <w:r w:rsidR="00CA4DD4">
              <w:rPr>
                <w:rFonts w:ascii="Century Gothic" w:hAnsi="Century Gothic"/>
                <w:b w:val="0"/>
              </w:rPr>
              <w:t>894.626,43</w:t>
            </w:r>
          </w:p>
        </w:tc>
      </w:tr>
    </w:tbl>
    <w:p w:rsidR="00AE47A9" w:rsidRDefault="00AE47A9">
      <w:pPr>
        <w:pStyle w:val="notaintegrativatabelle"/>
        <w:jc w:val="center"/>
        <w:rPr>
          <w:rFonts w:ascii="Century Gothic" w:hAnsi="Century Gothic"/>
          <w:b w:val="0"/>
          <w:sz w:val="24"/>
        </w:rPr>
      </w:pPr>
      <w:r>
        <w:rPr>
          <w:rFonts w:ascii="Century Gothic" w:hAnsi="Century Gothic"/>
          <w:b w:val="0"/>
          <w:sz w:val="24"/>
        </w:rPr>
        <w:t>Anni successivi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701"/>
        <w:gridCol w:w="4110"/>
        <w:gridCol w:w="2194"/>
      </w:tblGrid>
      <w:tr w:rsidR="00AE47A9" w:rsidTr="00BF59E3">
        <w:trPr>
          <w:trHeight w:val="716"/>
        </w:trPr>
        <w:tc>
          <w:tcPr>
            <w:tcW w:w="1063" w:type="dxa"/>
          </w:tcPr>
          <w:p w:rsidR="00AE47A9" w:rsidRDefault="00AE47A9">
            <w:pPr>
              <w:pStyle w:val="notaintegrativatabelle"/>
              <w:jc w:val="center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AE47A9">
            <w:pPr>
              <w:pStyle w:val="notaintegrativatabelle"/>
              <w:jc w:val="center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ANNI</w:t>
            </w:r>
          </w:p>
        </w:tc>
        <w:tc>
          <w:tcPr>
            <w:tcW w:w="1701" w:type="dxa"/>
          </w:tcPr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UTILE PREVISTO</w:t>
            </w:r>
          </w:p>
        </w:tc>
        <w:tc>
          <w:tcPr>
            <w:tcW w:w="4110" w:type="dxa"/>
          </w:tcPr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Iniziative di risanamento e effetti sul conto economico</w:t>
            </w:r>
          </w:p>
        </w:tc>
        <w:tc>
          <w:tcPr>
            <w:tcW w:w="2194" w:type="dxa"/>
          </w:tcPr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Deficit patrimoniale residuo</w:t>
            </w:r>
          </w:p>
        </w:tc>
      </w:tr>
      <w:tr w:rsidR="00AE47A9">
        <w:trPr>
          <w:trHeight w:val="954"/>
        </w:trPr>
        <w:tc>
          <w:tcPr>
            <w:tcW w:w="1063" w:type="dxa"/>
          </w:tcPr>
          <w:p w:rsidR="00AE47A9" w:rsidRDefault="00D2128E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201</w:t>
            </w:r>
            <w:r w:rsidR="00CA4DD4">
              <w:rPr>
                <w:rFonts w:ascii="Century Gothic" w:hAnsi="Century Gothic"/>
                <w:b w:val="0"/>
                <w:sz w:val="16"/>
              </w:rPr>
              <w:t>7</w:t>
            </w:r>
          </w:p>
        </w:tc>
        <w:tc>
          <w:tcPr>
            <w:tcW w:w="1701" w:type="dxa"/>
          </w:tcPr>
          <w:p w:rsidR="00AE47A9" w:rsidRDefault="00AE47A9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15.000,00</w:t>
            </w:r>
          </w:p>
        </w:tc>
        <w:tc>
          <w:tcPr>
            <w:tcW w:w="4110" w:type="dxa"/>
          </w:tcPr>
          <w:p w:rsidR="00AE47A9" w:rsidRDefault="00DC2E56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 xml:space="preserve">Mantenimento/incremento </w:t>
            </w:r>
            <w:r w:rsidR="00CF680B">
              <w:rPr>
                <w:rFonts w:ascii="Century Gothic" w:hAnsi="Century Gothic"/>
                <w:b w:val="0"/>
                <w:sz w:val="16"/>
              </w:rPr>
              <w:t xml:space="preserve">      </w:t>
            </w:r>
            <w:r w:rsidR="00AE47A9">
              <w:rPr>
                <w:rFonts w:ascii="Century Gothic" w:hAnsi="Century Gothic"/>
                <w:b w:val="0"/>
                <w:sz w:val="16"/>
              </w:rPr>
              <w:t xml:space="preserve">PARCO </w:t>
            </w:r>
            <w:r w:rsidR="00CF680B">
              <w:rPr>
                <w:rFonts w:ascii="Century Gothic" w:hAnsi="Century Gothic"/>
                <w:b w:val="0"/>
                <w:sz w:val="16"/>
              </w:rPr>
              <w:t xml:space="preserve">  </w:t>
            </w:r>
            <w:r w:rsidR="00AE47A9">
              <w:rPr>
                <w:rFonts w:ascii="Century Gothic" w:hAnsi="Century Gothic"/>
                <w:b w:val="0"/>
                <w:sz w:val="16"/>
              </w:rPr>
              <w:t>ASSOCIATIVO</w:t>
            </w:r>
          </w:p>
          <w:p w:rsidR="00AE47A9" w:rsidRDefault="00AE47A9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OTTIMIZZAZIONE COSTI DI GESTIONE</w:t>
            </w:r>
          </w:p>
          <w:p w:rsidR="00AE47A9" w:rsidRDefault="00AE47A9">
            <w:pPr>
              <w:pStyle w:val="notaintegrativatabelle"/>
              <w:numPr>
                <w:ilvl w:val="0"/>
                <w:numId w:val="8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APERTURA NUOVE DELEGAZIONI</w:t>
            </w:r>
          </w:p>
        </w:tc>
        <w:tc>
          <w:tcPr>
            <w:tcW w:w="2194" w:type="dxa"/>
          </w:tcPr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D2128E" w:rsidP="00E05E14">
            <w:pPr>
              <w:pStyle w:val="notaintegrativatabelle"/>
              <w:jc w:val="center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€ -</w:t>
            </w:r>
            <w:r w:rsidR="00CA4DD4">
              <w:rPr>
                <w:rFonts w:ascii="Century Gothic" w:hAnsi="Century Gothic"/>
                <w:b w:val="0"/>
                <w:sz w:val="16"/>
              </w:rPr>
              <w:t>879.626.43</w:t>
            </w:r>
          </w:p>
        </w:tc>
      </w:tr>
      <w:tr w:rsidR="00AE47A9">
        <w:tc>
          <w:tcPr>
            <w:tcW w:w="1063" w:type="dxa"/>
          </w:tcPr>
          <w:p w:rsidR="00AE47A9" w:rsidRDefault="00D2128E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201</w:t>
            </w:r>
            <w:r w:rsidR="00CA4DD4">
              <w:rPr>
                <w:rFonts w:ascii="Century Gothic" w:hAnsi="Century Gothic"/>
                <w:b w:val="0"/>
                <w:sz w:val="16"/>
              </w:rPr>
              <w:t>8</w:t>
            </w:r>
          </w:p>
        </w:tc>
        <w:tc>
          <w:tcPr>
            <w:tcW w:w="1701" w:type="dxa"/>
          </w:tcPr>
          <w:p w:rsidR="00AE47A9" w:rsidRDefault="00AE47A9" w:rsidP="008F1703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1</w:t>
            </w:r>
            <w:r w:rsidR="008F1703">
              <w:rPr>
                <w:rFonts w:ascii="Century Gothic" w:hAnsi="Century Gothic"/>
                <w:b w:val="0"/>
                <w:sz w:val="16"/>
              </w:rPr>
              <w:t>6</w:t>
            </w:r>
            <w:r>
              <w:rPr>
                <w:rFonts w:ascii="Century Gothic" w:hAnsi="Century Gothic"/>
                <w:b w:val="0"/>
                <w:sz w:val="16"/>
              </w:rPr>
              <w:t>.000,00</w:t>
            </w:r>
          </w:p>
        </w:tc>
        <w:tc>
          <w:tcPr>
            <w:tcW w:w="4110" w:type="dxa"/>
          </w:tcPr>
          <w:p w:rsidR="00DC2E56" w:rsidRDefault="00DC2E56" w:rsidP="00DC2E56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Mantenimento/incremento PARCO ASSOCIATIVO</w:t>
            </w:r>
          </w:p>
          <w:p w:rsidR="00AE47A9" w:rsidRDefault="00AE47A9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OTTIMIZZAZIONE COSTI DI GESTIONE</w:t>
            </w:r>
          </w:p>
          <w:p w:rsidR="00AE47A9" w:rsidRDefault="00AE47A9">
            <w:pPr>
              <w:pStyle w:val="notaintegrativatabelle"/>
              <w:numPr>
                <w:ilvl w:val="0"/>
                <w:numId w:val="6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APERTURA NUOVE DELEGAZIONI</w:t>
            </w:r>
          </w:p>
        </w:tc>
        <w:tc>
          <w:tcPr>
            <w:tcW w:w="2194" w:type="dxa"/>
          </w:tcPr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D2128E" w:rsidP="008F1703">
            <w:pPr>
              <w:pStyle w:val="notaintegrativatabelle"/>
              <w:jc w:val="center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€ -</w:t>
            </w:r>
            <w:r w:rsidR="00CA4DD4">
              <w:rPr>
                <w:rFonts w:ascii="Century Gothic" w:hAnsi="Century Gothic"/>
                <w:b w:val="0"/>
                <w:sz w:val="16"/>
              </w:rPr>
              <w:t>86</w:t>
            </w:r>
            <w:r w:rsidR="008F1703">
              <w:rPr>
                <w:rFonts w:ascii="Century Gothic" w:hAnsi="Century Gothic"/>
                <w:b w:val="0"/>
                <w:sz w:val="16"/>
              </w:rPr>
              <w:t>3</w:t>
            </w:r>
            <w:r w:rsidR="00CA4DD4">
              <w:rPr>
                <w:rFonts w:ascii="Century Gothic" w:hAnsi="Century Gothic"/>
                <w:b w:val="0"/>
                <w:sz w:val="16"/>
              </w:rPr>
              <w:t>.626,43</w:t>
            </w:r>
          </w:p>
        </w:tc>
      </w:tr>
      <w:tr w:rsidR="00AE47A9">
        <w:tc>
          <w:tcPr>
            <w:tcW w:w="1063" w:type="dxa"/>
          </w:tcPr>
          <w:p w:rsidR="00AE47A9" w:rsidRDefault="00D2128E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lastRenderedPageBreak/>
              <w:t>201</w:t>
            </w:r>
            <w:r w:rsidR="00CA4DD4">
              <w:rPr>
                <w:rFonts w:ascii="Century Gothic" w:hAnsi="Century Gothic"/>
                <w:b w:val="0"/>
                <w:sz w:val="16"/>
              </w:rPr>
              <w:t>9</w:t>
            </w:r>
          </w:p>
        </w:tc>
        <w:tc>
          <w:tcPr>
            <w:tcW w:w="1701" w:type="dxa"/>
          </w:tcPr>
          <w:p w:rsidR="00AE47A9" w:rsidRDefault="008F1703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16</w:t>
            </w:r>
            <w:r w:rsidR="00AE47A9">
              <w:rPr>
                <w:rFonts w:ascii="Century Gothic" w:hAnsi="Century Gothic"/>
                <w:b w:val="0"/>
                <w:sz w:val="16"/>
              </w:rPr>
              <w:t>.000,00</w:t>
            </w:r>
          </w:p>
        </w:tc>
        <w:tc>
          <w:tcPr>
            <w:tcW w:w="4110" w:type="dxa"/>
          </w:tcPr>
          <w:p w:rsidR="00DC2E56" w:rsidRDefault="00DC2E56" w:rsidP="00DC2E56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Mantenimento/incremento PARCO ASSOCIATIVO</w:t>
            </w:r>
          </w:p>
          <w:p w:rsidR="00AE47A9" w:rsidRDefault="00AE47A9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OTTIMIZZAZIONE COSTI DI GESTIONE</w:t>
            </w:r>
          </w:p>
          <w:p w:rsidR="00AE47A9" w:rsidRDefault="00AE47A9">
            <w:pPr>
              <w:pStyle w:val="notaintegrativatabelle"/>
              <w:numPr>
                <w:ilvl w:val="0"/>
                <w:numId w:val="7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APERTURA NUOVE DELEGAZIONI</w:t>
            </w:r>
          </w:p>
        </w:tc>
        <w:tc>
          <w:tcPr>
            <w:tcW w:w="2194" w:type="dxa"/>
          </w:tcPr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D2128E" w:rsidP="008F1703">
            <w:pPr>
              <w:pStyle w:val="notaintegrativatabelle"/>
              <w:jc w:val="center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€ -</w:t>
            </w:r>
            <w:r w:rsidR="00CA4DD4">
              <w:rPr>
                <w:rFonts w:ascii="Century Gothic" w:hAnsi="Century Gothic"/>
                <w:b w:val="0"/>
                <w:sz w:val="16"/>
              </w:rPr>
              <w:t>84</w:t>
            </w:r>
            <w:r w:rsidR="008F1703">
              <w:rPr>
                <w:rFonts w:ascii="Century Gothic" w:hAnsi="Century Gothic"/>
                <w:b w:val="0"/>
                <w:sz w:val="16"/>
              </w:rPr>
              <w:t>7</w:t>
            </w:r>
            <w:r w:rsidR="00CA4DD4">
              <w:rPr>
                <w:rFonts w:ascii="Century Gothic" w:hAnsi="Century Gothic"/>
                <w:b w:val="0"/>
                <w:sz w:val="16"/>
              </w:rPr>
              <w:t>.626.43</w:t>
            </w:r>
          </w:p>
        </w:tc>
      </w:tr>
      <w:tr w:rsidR="00AE47A9">
        <w:trPr>
          <w:trHeight w:val="985"/>
        </w:trPr>
        <w:tc>
          <w:tcPr>
            <w:tcW w:w="1063" w:type="dxa"/>
          </w:tcPr>
          <w:p w:rsidR="00AE47A9" w:rsidRDefault="00D2128E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20</w:t>
            </w:r>
            <w:r w:rsidR="00CA4DD4">
              <w:rPr>
                <w:rFonts w:ascii="Century Gothic" w:hAnsi="Century Gothic"/>
                <w:b w:val="0"/>
                <w:sz w:val="16"/>
              </w:rPr>
              <w:t>20</w:t>
            </w:r>
          </w:p>
        </w:tc>
        <w:tc>
          <w:tcPr>
            <w:tcW w:w="1701" w:type="dxa"/>
          </w:tcPr>
          <w:p w:rsidR="00AE47A9" w:rsidRDefault="008F1703">
            <w:pPr>
              <w:pStyle w:val="notaintegrativatabelle"/>
              <w:spacing w:before="100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16</w:t>
            </w:r>
            <w:r w:rsidR="00AE47A9">
              <w:rPr>
                <w:rFonts w:ascii="Century Gothic" w:hAnsi="Century Gothic"/>
                <w:b w:val="0"/>
                <w:sz w:val="16"/>
              </w:rPr>
              <w:t>.000,00</w:t>
            </w:r>
          </w:p>
        </w:tc>
        <w:tc>
          <w:tcPr>
            <w:tcW w:w="4110" w:type="dxa"/>
          </w:tcPr>
          <w:p w:rsidR="00DC2E56" w:rsidRDefault="00DC2E56" w:rsidP="00DC2E56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Mantenimento/incremento PARCO ASSOCIATIVO</w:t>
            </w:r>
          </w:p>
          <w:p w:rsidR="00AE47A9" w:rsidRDefault="00AE47A9">
            <w:pPr>
              <w:pStyle w:val="notaintegrativatabelle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OTTIMIZZAZIONE COSTI DI GESTIONE</w:t>
            </w:r>
          </w:p>
          <w:p w:rsidR="00AE47A9" w:rsidRDefault="00AE47A9">
            <w:pPr>
              <w:pStyle w:val="notaintegrativatabelle"/>
              <w:numPr>
                <w:ilvl w:val="0"/>
                <w:numId w:val="7"/>
              </w:numPr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APERTURA NUOVE DELEGAZIONI</w:t>
            </w:r>
          </w:p>
        </w:tc>
        <w:tc>
          <w:tcPr>
            <w:tcW w:w="2194" w:type="dxa"/>
          </w:tcPr>
          <w:p w:rsidR="00AE47A9" w:rsidRDefault="00AE47A9">
            <w:pPr>
              <w:pStyle w:val="notaintegrativatabelle"/>
              <w:rPr>
                <w:rFonts w:ascii="Century Gothic" w:hAnsi="Century Gothic"/>
                <w:b w:val="0"/>
                <w:sz w:val="16"/>
              </w:rPr>
            </w:pPr>
          </w:p>
          <w:p w:rsidR="00AE47A9" w:rsidRDefault="00D2128E" w:rsidP="008F1703">
            <w:pPr>
              <w:pStyle w:val="notaintegrativatabelle"/>
              <w:jc w:val="center"/>
              <w:rPr>
                <w:rFonts w:ascii="Century Gothic" w:hAnsi="Century Gothic"/>
                <w:b w:val="0"/>
                <w:sz w:val="16"/>
              </w:rPr>
            </w:pPr>
            <w:r>
              <w:rPr>
                <w:rFonts w:ascii="Century Gothic" w:hAnsi="Century Gothic"/>
                <w:b w:val="0"/>
                <w:sz w:val="16"/>
              </w:rPr>
              <w:t>€ -</w:t>
            </w:r>
            <w:r w:rsidR="00CA4DD4">
              <w:rPr>
                <w:rFonts w:ascii="Century Gothic" w:hAnsi="Century Gothic"/>
                <w:b w:val="0"/>
                <w:sz w:val="16"/>
              </w:rPr>
              <w:t>83</w:t>
            </w:r>
            <w:r w:rsidR="008F1703">
              <w:rPr>
                <w:rFonts w:ascii="Century Gothic" w:hAnsi="Century Gothic"/>
                <w:b w:val="0"/>
                <w:sz w:val="16"/>
              </w:rPr>
              <w:t>1</w:t>
            </w:r>
            <w:r w:rsidR="00CA4DD4">
              <w:rPr>
                <w:rFonts w:ascii="Century Gothic" w:hAnsi="Century Gothic"/>
                <w:b w:val="0"/>
                <w:sz w:val="16"/>
              </w:rPr>
              <w:t>.626.43</w:t>
            </w:r>
          </w:p>
        </w:tc>
      </w:tr>
    </w:tbl>
    <w:p w:rsidR="00AE47A9" w:rsidRDefault="00AE47A9">
      <w:pPr>
        <w:pStyle w:val="notaintegrativatabelle"/>
        <w:rPr>
          <w:rFonts w:ascii="Century Gothic" w:hAnsi="Century Gothic"/>
          <w:b w:val="0"/>
          <w:sz w:val="24"/>
        </w:rPr>
      </w:pPr>
      <w:r>
        <w:rPr>
          <w:rFonts w:ascii="Century Gothic" w:hAnsi="Century Gothic"/>
          <w:b w:val="0"/>
          <w:sz w:val="24"/>
        </w:rPr>
        <w:t xml:space="preserve"> </w:t>
      </w:r>
    </w:p>
    <w:p w:rsidR="00AE47A9" w:rsidRDefault="00AE47A9">
      <w:pPr>
        <w:pStyle w:val="notaintegrativatabelle"/>
        <w:spacing w:line="240" w:lineRule="auto"/>
        <w:ind w:firstLine="709"/>
        <w:rPr>
          <w:rFonts w:ascii="Century Gothic" w:hAnsi="Century Gothic"/>
          <w:b w:val="0"/>
          <w:sz w:val="22"/>
        </w:rPr>
      </w:pPr>
      <w:r>
        <w:rPr>
          <w:rFonts w:ascii="Century Gothic" w:hAnsi="Century Gothic"/>
          <w:b w:val="0"/>
          <w:sz w:val="22"/>
        </w:rPr>
        <w:t>La previsione dell’utile da destinare alla copertura del deficit è ispirata dai principi della veridicità e della prudenza.</w:t>
      </w:r>
    </w:p>
    <w:p w:rsidR="00B478EC" w:rsidRDefault="00B478EC">
      <w:pPr>
        <w:pStyle w:val="notaintegrativatabelle"/>
        <w:rPr>
          <w:rFonts w:ascii="Century Gothic" w:hAnsi="Century Gothic"/>
          <w:sz w:val="20"/>
        </w:rPr>
      </w:pPr>
    </w:p>
    <w:p w:rsidR="009374A0" w:rsidRDefault="009374A0">
      <w:pPr>
        <w:pStyle w:val="notaintegrativatabelle"/>
        <w:rPr>
          <w:rFonts w:ascii="Century Gothic" w:hAnsi="Century Gothic"/>
          <w:sz w:val="20"/>
        </w:rPr>
      </w:pPr>
    </w:p>
    <w:p w:rsidR="007A1F30" w:rsidRDefault="007A1F30">
      <w:pPr>
        <w:pStyle w:val="notaintegrativatabelle"/>
        <w:rPr>
          <w:rFonts w:ascii="Century Gothic" w:hAnsi="Century Gothic"/>
          <w:sz w:val="20"/>
        </w:rPr>
      </w:pPr>
    </w:p>
    <w:p w:rsidR="00313F48" w:rsidRDefault="00313F48">
      <w:pPr>
        <w:pStyle w:val="notaintegrativatabelle"/>
        <w:rPr>
          <w:rFonts w:ascii="Century Gothic" w:hAnsi="Century Gothic"/>
          <w:sz w:val="20"/>
        </w:rPr>
      </w:pPr>
      <w:r w:rsidRPr="00B478EC">
        <w:rPr>
          <w:rFonts w:ascii="Century Gothic" w:hAnsi="Century Gothic"/>
          <w:sz w:val="20"/>
        </w:rPr>
        <w:t>IL BUDGET PLURIENNALE</w:t>
      </w:r>
    </w:p>
    <w:p w:rsidR="00964522" w:rsidRPr="00B478EC" w:rsidRDefault="00964522">
      <w:pPr>
        <w:pStyle w:val="notaintegrativatabelle"/>
        <w:rPr>
          <w:rFonts w:ascii="Century Gothic" w:hAnsi="Century Gothic"/>
          <w:sz w:val="20"/>
        </w:rPr>
      </w:pPr>
    </w:p>
    <w:p w:rsidR="00313F48" w:rsidRPr="00B478EC" w:rsidRDefault="00313F48" w:rsidP="00B478EC">
      <w:pPr>
        <w:pStyle w:val="notaintegrativatabelle"/>
        <w:spacing w:line="240" w:lineRule="auto"/>
        <w:rPr>
          <w:rFonts w:ascii="Century Gothic" w:hAnsi="Century Gothic"/>
          <w:b w:val="0"/>
          <w:sz w:val="22"/>
          <w:szCs w:val="22"/>
        </w:rPr>
      </w:pPr>
      <w:r w:rsidRPr="00B478EC">
        <w:rPr>
          <w:rFonts w:ascii="Century Gothic" w:hAnsi="Century Gothic"/>
          <w:b w:val="0"/>
          <w:sz w:val="22"/>
          <w:szCs w:val="22"/>
        </w:rPr>
        <w:t>Ai sensi del Decreto del Ministero dell’Economia e delle Finanze del 27 marzo 2013, l’Ente ha provveduto ad elaborare il budget plurienna</w:t>
      </w:r>
      <w:r w:rsidR="00E35752">
        <w:rPr>
          <w:rFonts w:ascii="Century Gothic" w:hAnsi="Century Gothic"/>
          <w:b w:val="0"/>
          <w:sz w:val="22"/>
          <w:szCs w:val="22"/>
        </w:rPr>
        <w:t>le per il triennio 2016-2018</w:t>
      </w:r>
      <w:r w:rsidRPr="00B478EC">
        <w:rPr>
          <w:rFonts w:ascii="Century Gothic" w:hAnsi="Century Gothic"/>
          <w:b w:val="0"/>
          <w:sz w:val="22"/>
          <w:szCs w:val="22"/>
        </w:rPr>
        <w:t>.</w:t>
      </w:r>
    </w:p>
    <w:p w:rsidR="009374A0" w:rsidRDefault="009374A0" w:rsidP="00B478EC">
      <w:pPr>
        <w:pStyle w:val="notaintegrativatabelle"/>
        <w:spacing w:line="240" w:lineRule="auto"/>
        <w:rPr>
          <w:rFonts w:ascii="Century Gothic" w:hAnsi="Century Gothic"/>
          <w:b w:val="0"/>
          <w:sz w:val="22"/>
          <w:szCs w:val="22"/>
        </w:rPr>
      </w:pPr>
    </w:p>
    <w:p w:rsidR="000368AB" w:rsidRDefault="00B478EC" w:rsidP="00033DCC">
      <w:pPr>
        <w:pStyle w:val="notaintegrativatabelle"/>
        <w:spacing w:line="240" w:lineRule="auto"/>
        <w:ind w:firstLine="708"/>
        <w:rPr>
          <w:rFonts w:ascii="Century Gothic" w:hAnsi="Century Gothic"/>
          <w:b w:val="0"/>
          <w:sz w:val="22"/>
          <w:szCs w:val="22"/>
        </w:rPr>
      </w:pPr>
      <w:r w:rsidRPr="00B478EC">
        <w:rPr>
          <w:rFonts w:ascii="Century Gothic" w:hAnsi="Century Gothic"/>
          <w:b w:val="0"/>
          <w:sz w:val="22"/>
          <w:szCs w:val="22"/>
        </w:rPr>
        <w:t>Tale budget è sta</w:t>
      </w:r>
      <w:r w:rsidR="000368AB">
        <w:rPr>
          <w:rFonts w:ascii="Century Gothic" w:hAnsi="Century Gothic"/>
          <w:b w:val="0"/>
          <w:sz w:val="22"/>
          <w:szCs w:val="22"/>
        </w:rPr>
        <w:t>to redatto sulla base dei programmi e delle attività che si prevede di</w:t>
      </w:r>
      <w:r w:rsidR="00401733">
        <w:rPr>
          <w:rFonts w:ascii="Century Gothic" w:hAnsi="Century Gothic"/>
          <w:b w:val="0"/>
          <w:sz w:val="22"/>
          <w:szCs w:val="22"/>
        </w:rPr>
        <w:t xml:space="preserve"> realizzare</w:t>
      </w:r>
      <w:r w:rsidR="000368AB">
        <w:rPr>
          <w:rFonts w:ascii="Century Gothic" w:hAnsi="Century Gothic"/>
          <w:b w:val="0"/>
          <w:sz w:val="22"/>
          <w:szCs w:val="22"/>
        </w:rPr>
        <w:t xml:space="preserve"> nel triennio.</w:t>
      </w:r>
    </w:p>
    <w:p w:rsidR="009374A0" w:rsidRDefault="009374A0" w:rsidP="00B478EC">
      <w:pPr>
        <w:pStyle w:val="notaintegrativatabelle"/>
        <w:spacing w:line="240" w:lineRule="auto"/>
        <w:rPr>
          <w:rFonts w:ascii="Century Gothic" w:hAnsi="Century Gothic"/>
          <w:b w:val="0"/>
          <w:sz w:val="22"/>
          <w:szCs w:val="22"/>
        </w:rPr>
      </w:pPr>
    </w:p>
    <w:p w:rsidR="00313F48" w:rsidRDefault="000368AB" w:rsidP="00964522">
      <w:pPr>
        <w:pStyle w:val="notaintegrativatabelle"/>
        <w:spacing w:line="240" w:lineRule="auto"/>
        <w:ind w:firstLine="708"/>
        <w:rPr>
          <w:rFonts w:ascii="Century Gothic" w:hAnsi="Century Gothic"/>
          <w:b w:val="0"/>
          <w:sz w:val="22"/>
          <w:szCs w:val="22"/>
        </w:rPr>
      </w:pPr>
      <w:r w:rsidRPr="00B478EC">
        <w:rPr>
          <w:rFonts w:ascii="Century Gothic" w:hAnsi="Century Gothic"/>
          <w:b w:val="0"/>
          <w:sz w:val="22"/>
          <w:szCs w:val="22"/>
        </w:rPr>
        <w:t xml:space="preserve"> </w:t>
      </w:r>
      <w:r w:rsidR="00313F48" w:rsidRPr="00B478EC">
        <w:rPr>
          <w:rFonts w:ascii="Century Gothic" w:hAnsi="Century Gothic"/>
          <w:b w:val="0"/>
          <w:sz w:val="22"/>
          <w:szCs w:val="22"/>
        </w:rPr>
        <w:t>Ai sensi del predetto decreto ministeriale, la struttura del documento è conforme a quella del budget annuale riclas</w:t>
      </w:r>
      <w:r w:rsidR="00964522">
        <w:rPr>
          <w:rFonts w:ascii="Century Gothic" w:hAnsi="Century Gothic"/>
          <w:b w:val="0"/>
          <w:sz w:val="22"/>
          <w:szCs w:val="22"/>
        </w:rPr>
        <w:t>sificato, di cui all’allegato 2 i cui</w:t>
      </w:r>
      <w:r w:rsidR="00313F48" w:rsidRPr="00B478EC">
        <w:rPr>
          <w:rFonts w:ascii="Century Gothic" w:hAnsi="Century Gothic"/>
          <w:b w:val="0"/>
          <w:sz w:val="22"/>
          <w:szCs w:val="22"/>
        </w:rPr>
        <w:t xml:space="preserve"> dati della prima annualità coincidono co</w:t>
      </w:r>
      <w:r w:rsidR="00E35752">
        <w:rPr>
          <w:rFonts w:ascii="Century Gothic" w:hAnsi="Century Gothic"/>
          <w:b w:val="0"/>
          <w:sz w:val="22"/>
          <w:szCs w:val="22"/>
        </w:rPr>
        <w:t>n quelli de</w:t>
      </w:r>
      <w:r w:rsidR="0071273C">
        <w:rPr>
          <w:rFonts w:ascii="Century Gothic" w:hAnsi="Century Gothic"/>
          <w:b w:val="0"/>
          <w:sz w:val="22"/>
          <w:szCs w:val="22"/>
        </w:rPr>
        <w:t>l</w:t>
      </w:r>
      <w:r w:rsidR="00E35752">
        <w:rPr>
          <w:rFonts w:ascii="Century Gothic" w:hAnsi="Century Gothic"/>
          <w:b w:val="0"/>
          <w:sz w:val="22"/>
          <w:szCs w:val="22"/>
        </w:rPr>
        <w:t xml:space="preserve"> budget annuale 2016</w:t>
      </w:r>
      <w:r w:rsidR="00B478EC">
        <w:rPr>
          <w:rFonts w:ascii="Century Gothic" w:hAnsi="Century Gothic"/>
          <w:b w:val="0"/>
          <w:sz w:val="22"/>
          <w:szCs w:val="22"/>
        </w:rPr>
        <w:t>.</w:t>
      </w:r>
    </w:p>
    <w:p w:rsidR="00964522" w:rsidRDefault="00964522" w:rsidP="00964522">
      <w:pPr>
        <w:ind w:firstLine="709"/>
        <w:jc w:val="both"/>
        <w:rPr>
          <w:rFonts w:ascii="Century Gothic" w:hAnsi="Century Gothic"/>
        </w:rPr>
      </w:pPr>
    </w:p>
    <w:p w:rsidR="00964522" w:rsidRDefault="00964522" w:rsidP="00964522">
      <w:pPr>
        <w:ind w:firstLine="709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Analizzando l’andamento nel triennio è chiaro che è</w:t>
      </w:r>
      <w:r w:rsidRPr="008D5012">
        <w:rPr>
          <w:rFonts w:ascii="Century Gothic" w:hAnsi="Century Gothic"/>
          <w:sz w:val="22"/>
          <w:szCs w:val="22"/>
        </w:rPr>
        <w:t xml:space="preserve"> minima la possibilità per l’Ente di ridurre ulteriormente i costi di gestione e di intervenire in modo decisivo sui ricavi, </w:t>
      </w:r>
      <w:r w:rsidR="00DB2A53">
        <w:rPr>
          <w:rFonts w:ascii="Century Gothic" w:hAnsi="Century Gothic"/>
          <w:sz w:val="22"/>
          <w:szCs w:val="22"/>
        </w:rPr>
        <w:t xml:space="preserve"> per</w:t>
      </w:r>
      <w:r w:rsidR="006558C4">
        <w:rPr>
          <w:rFonts w:ascii="Century Gothic" w:hAnsi="Century Gothic"/>
          <w:sz w:val="22"/>
          <w:szCs w:val="22"/>
        </w:rPr>
        <w:t>tanto non si ritiene di appo</w:t>
      </w:r>
      <w:r w:rsidR="00DB2A53">
        <w:rPr>
          <w:rFonts w:ascii="Century Gothic" w:hAnsi="Century Gothic"/>
          <w:sz w:val="22"/>
          <w:szCs w:val="22"/>
        </w:rPr>
        <w:t xml:space="preserve">rtare variazione  </w:t>
      </w:r>
      <w:r w:rsidR="008F1703">
        <w:rPr>
          <w:rFonts w:ascii="Century Gothic" w:hAnsi="Century Gothic"/>
          <w:sz w:val="22"/>
          <w:szCs w:val="22"/>
        </w:rPr>
        <w:t xml:space="preserve">significative </w:t>
      </w:r>
      <w:r w:rsidR="00DB2A53">
        <w:rPr>
          <w:rFonts w:ascii="Century Gothic" w:hAnsi="Century Gothic"/>
          <w:sz w:val="22"/>
          <w:szCs w:val="22"/>
        </w:rPr>
        <w:t xml:space="preserve">alle previsioni </w:t>
      </w:r>
      <w:r w:rsidR="00920182">
        <w:rPr>
          <w:rFonts w:ascii="Century Gothic" w:hAnsi="Century Gothic"/>
          <w:sz w:val="22"/>
          <w:szCs w:val="22"/>
        </w:rPr>
        <w:t>per il 2017 e 2018</w:t>
      </w:r>
      <w:r w:rsidR="008F1703">
        <w:rPr>
          <w:rFonts w:ascii="Century Gothic" w:hAnsi="Century Gothic"/>
          <w:sz w:val="22"/>
          <w:szCs w:val="22"/>
        </w:rPr>
        <w:t>, si evidenzia un lieve incremento nel 2018 dovuto  a minori costi finanziari</w:t>
      </w:r>
      <w:r w:rsidRPr="008D5012">
        <w:rPr>
          <w:rFonts w:ascii="Century Gothic" w:hAnsi="Century Gothic"/>
          <w:sz w:val="22"/>
          <w:szCs w:val="22"/>
        </w:rPr>
        <w:t>.</w:t>
      </w:r>
    </w:p>
    <w:p w:rsidR="00964522" w:rsidRDefault="00964522" w:rsidP="00964522">
      <w:pPr>
        <w:ind w:firstLine="709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 costi ed i ricavi della manifestazione sportiva, che hanno un peso rilevante nel bilancio dell’Ente, vengono previsti prudentemente in pareggio, essendo quest’ultimo la  condizione necessaria per la sua realizzazione. </w:t>
      </w:r>
    </w:p>
    <w:p w:rsidR="007D34EE" w:rsidRDefault="007D34EE" w:rsidP="00964522">
      <w:pPr>
        <w:ind w:firstLine="709"/>
        <w:jc w:val="both"/>
        <w:rPr>
          <w:rFonts w:ascii="Century Gothic" w:hAnsi="Century Gothic"/>
          <w:sz w:val="22"/>
          <w:szCs w:val="22"/>
        </w:rPr>
      </w:pPr>
    </w:p>
    <w:p w:rsidR="00964522" w:rsidRDefault="008F1703" w:rsidP="00964522">
      <w:pPr>
        <w:ind w:firstLine="709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</w:t>
      </w:r>
      <w:r w:rsidR="00964522">
        <w:rPr>
          <w:rFonts w:ascii="Century Gothic" w:hAnsi="Century Gothic"/>
          <w:sz w:val="22"/>
          <w:szCs w:val="22"/>
        </w:rPr>
        <w:t xml:space="preserve">li </w:t>
      </w:r>
      <w:r w:rsidR="00964522" w:rsidRPr="008D5012">
        <w:rPr>
          <w:rFonts w:ascii="Century Gothic" w:hAnsi="Century Gothic"/>
          <w:sz w:val="22"/>
          <w:szCs w:val="22"/>
        </w:rPr>
        <w:t xml:space="preserve"> oneri finanziari </w:t>
      </w:r>
      <w:r>
        <w:rPr>
          <w:rFonts w:ascii="Century Gothic" w:hAnsi="Century Gothic"/>
          <w:sz w:val="22"/>
          <w:szCs w:val="22"/>
        </w:rPr>
        <w:t>s</w:t>
      </w:r>
      <w:r w:rsidR="00964522">
        <w:rPr>
          <w:rFonts w:ascii="Century Gothic" w:hAnsi="Century Gothic"/>
          <w:sz w:val="22"/>
          <w:szCs w:val="22"/>
        </w:rPr>
        <w:t xml:space="preserve">ubiscono </w:t>
      </w:r>
      <w:r w:rsidR="00B8089D">
        <w:rPr>
          <w:rFonts w:ascii="Century Gothic" w:hAnsi="Century Gothic"/>
          <w:sz w:val="22"/>
          <w:szCs w:val="22"/>
        </w:rPr>
        <w:t xml:space="preserve">nel 2018 </w:t>
      </w:r>
      <w:r>
        <w:rPr>
          <w:rFonts w:ascii="Century Gothic" w:hAnsi="Century Gothic"/>
          <w:sz w:val="22"/>
          <w:szCs w:val="22"/>
        </w:rPr>
        <w:t>un decremento</w:t>
      </w:r>
      <w:r w:rsidR="00B8089D">
        <w:rPr>
          <w:rFonts w:ascii="Century Gothic" w:hAnsi="Century Gothic"/>
          <w:sz w:val="22"/>
          <w:szCs w:val="22"/>
        </w:rPr>
        <w:t xml:space="preserve"> </w:t>
      </w:r>
      <w:r w:rsidR="00E92C40">
        <w:rPr>
          <w:rFonts w:ascii="Century Gothic" w:hAnsi="Century Gothic"/>
          <w:sz w:val="22"/>
          <w:szCs w:val="22"/>
        </w:rPr>
        <w:t>di € 1.000,</w:t>
      </w:r>
      <w:r>
        <w:rPr>
          <w:rFonts w:ascii="Century Gothic" w:hAnsi="Century Gothic"/>
          <w:sz w:val="22"/>
          <w:szCs w:val="22"/>
        </w:rPr>
        <w:t>00 in quanto si prevede un</w:t>
      </w:r>
      <w:r w:rsidR="00C0496F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 xml:space="preserve"> diminuzione dell’anticipazione bancaria</w:t>
      </w:r>
      <w:r w:rsidR="00964522" w:rsidRPr="008D5012">
        <w:rPr>
          <w:rFonts w:ascii="Century Gothic" w:hAnsi="Century Gothic"/>
          <w:sz w:val="22"/>
          <w:szCs w:val="22"/>
        </w:rPr>
        <w:t>.</w:t>
      </w:r>
    </w:p>
    <w:p w:rsidR="00964522" w:rsidRPr="008D5012" w:rsidRDefault="00964522" w:rsidP="00964522">
      <w:pPr>
        <w:ind w:firstLine="709"/>
        <w:jc w:val="both"/>
        <w:rPr>
          <w:rFonts w:ascii="Century Gothic" w:hAnsi="Century Gothic"/>
          <w:sz w:val="22"/>
          <w:szCs w:val="22"/>
        </w:rPr>
      </w:pPr>
    </w:p>
    <w:p w:rsidR="00964522" w:rsidRPr="00B478EC" w:rsidRDefault="00B8089D" w:rsidP="00B8089D">
      <w:pPr>
        <w:ind w:firstLine="709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sz w:val="22"/>
          <w:szCs w:val="22"/>
        </w:rPr>
        <w:t>Pertanto il</w:t>
      </w:r>
      <w:r w:rsidR="00964522" w:rsidRPr="008D5012">
        <w:rPr>
          <w:rFonts w:ascii="Century Gothic" w:hAnsi="Century Gothic"/>
          <w:sz w:val="22"/>
          <w:szCs w:val="22"/>
        </w:rPr>
        <w:t xml:space="preserve"> risultato d’esercizi</w:t>
      </w:r>
      <w:r w:rsidR="008F1703">
        <w:rPr>
          <w:rFonts w:ascii="Century Gothic" w:hAnsi="Century Gothic"/>
          <w:sz w:val="22"/>
          <w:szCs w:val="22"/>
        </w:rPr>
        <w:t>o previsto</w:t>
      </w:r>
      <w:r>
        <w:rPr>
          <w:rFonts w:ascii="Century Gothic" w:hAnsi="Century Gothic"/>
          <w:sz w:val="22"/>
          <w:szCs w:val="22"/>
        </w:rPr>
        <w:t xml:space="preserve"> è di € 15.000,00 nel </w:t>
      </w:r>
      <w:r w:rsidR="008F1703">
        <w:rPr>
          <w:rFonts w:ascii="Century Gothic" w:hAnsi="Century Gothic"/>
          <w:sz w:val="22"/>
          <w:szCs w:val="22"/>
        </w:rPr>
        <w:t>201</w:t>
      </w:r>
      <w:r>
        <w:rPr>
          <w:rFonts w:ascii="Century Gothic" w:hAnsi="Century Gothic"/>
          <w:sz w:val="22"/>
          <w:szCs w:val="22"/>
        </w:rPr>
        <w:t>6 e nel</w:t>
      </w:r>
      <w:r w:rsidR="00C0496F">
        <w:rPr>
          <w:rFonts w:ascii="Century Gothic" w:hAnsi="Century Gothic"/>
          <w:sz w:val="22"/>
          <w:szCs w:val="22"/>
        </w:rPr>
        <w:t xml:space="preserve"> 2017</w:t>
      </w:r>
      <w:r>
        <w:rPr>
          <w:rFonts w:ascii="Century Gothic" w:hAnsi="Century Gothic"/>
          <w:sz w:val="22"/>
          <w:szCs w:val="22"/>
        </w:rPr>
        <w:t>,</w:t>
      </w:r>
      <w:r w:rsidR="00C0496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e </w:t>
      </w:r>
      <w:r w:rsidR="00C0496F">
        <w:rPr>
          <w:rFonts w:ascii="Century Gothic" w:hAnsi="Century Gothic"/>
          <w:sz w:val="22"/>
          <w:szCs w:val="22"/>
        </w:rPr>
        <w:t xml:space="preserve"> pari ad € 1</w:t>
      </w:r>
      <w:r>
        <w:rPr>
          <w:rFonts w:ascii="Century Gothic" w:hAnsi="Century Gothic"/>
          <w:sz w:val="22"/>
          <w:szCs w:val="22"/>
        </w:rPr>
        <w:t>6</w:t>
      </w:r>
      <w:r w:rsidR="00C0496F">
        <w:rPr>
          <w:rFonts w:ascii="Century Gothic" w:hAnsi="Century Gothic"/>
          <w:sz w:val="22"/>
          <w:szCs w:val="22"/>
        </w:rPr>
        <w:t>.000,00</w:t>
      </w:r>
      <w:r>
        <w:rPr>
          <w:rFonts w:ascii="Century Gothic" w:hAnsi="Century Gothic"/>
          <w:sz w:val="22"/>
          <w:szCs w:val="22"/>
        </w:rPr>
        <w:t xml:space="preserve"> </w:t>
      </w:r>
      <w:r w:rsidR="00C0496F">
        <w:rPr>
          <w:rFonts w:ascii="Century Gothic" w:hAnsi="Century Gothic"/>
          <w:sz w:val="22"/>
          <w:szCs w:val="22"/>
        </w:rPr>
        <w:t>nel 2018</w:t>
      </w:r>
      <w:r>
        <w:rPr>
          <w:rFonts w:ascii="Century Gothic" w:hAnsi="Century Gothic"/>
          <w:sz w:val="22"/>
          <w:szCs w:val="22"/>
        </w:rPr>
        <w:t>.</w:t>
      </w:r>
      <w:r w:rsidR="00C0496F">
        <w:rPr>
          <w:rFonts w:ascii="Century Gothic" w:hAnsi="Century Gothic"/>
          <w:sz w:val="22"/>
          <w:szCs w:val="22"/>
        </w:rPr>
        <w:t xml:space="preserve"> </w:t>
      </w:r>
    </w:p>
    <w:p w:rsidR="00313F48" w:rsidRDefault="009F796C">
      <w:pPr>
        <w:pStyle w:val="notaintegrativatabelle"/>
        <w:rPr>
          <w:rFonts w:ascii="Verdana" w:hAnsi="Verdana"/>
          <w:sz w:val="22"/>
        </w:rPr>
      </w:pPr>
      <w:r w:rsidRPr="009D11ED">
        <w:rPr>
          <w:rFonts w:ascii="Verdana" w:hAnsi="Verdana"/>
          <w:sz w:val="22"/>
        </w:rPr>
        <w:object w:dxaOrig="9456" w:dyaOrig="17131">
          <v:shape id="_x0000_i1042" type="#_x0000_t75" style="width:438.1pt;height:760.1pt" o:ole="" fillcolor="window">
            <v:imagedata r:id="rId43" o:title=""/>
          </v:shape>
          <o:OLEObject Type="Embed" ProgID="Excel.Sheet.12" ShapeID="_x0000_i1042" DrawAspect="Content" ObjectID="_1508312804" r:id="rId44"/>
        </w:object>
      </w:r>
    </w:p>
    <w:p w:rsidR="008D5012" w:rsidRDefault="008D5012" w:rsidP="008D5012">
      <w:pPr>
        <w:pStyle w:val="notaintegrativatabelle"/>
        <w:spacing w:line="240" w:lineRule="auto"/>
        <w:ind w:firstLine="708"/>
        <w:rPr>
          <w:rFonts w:ascii="Century Gothic" w:hAnsi="Century Gothic"/>
          <w:b w:val="0"/>
          <w:sz w:val="22"/>
          <w:szCs w:val="22"/>
        </w:rPr>
      </w:pPr>
    </w:p>
    <w:p w:rsidR="00145A64" w:rsidRDefault="00145A64" w:rsidP="00982B0D">
      <w:pPr>
        <w:ind w:firstLine="709"/>
        <w:jc w:val="both"/>
        <w:rPr>
          <w:rFonts w:ascii="Century Gothic" w:hAnsi="Century Gothic"/>
          <w:sz w:val="22"/>
        </w:rPr>
      </w:pPr>
    </w:p>
    <w:p w:rsidR="00145A64" w:rsidRDefault="00145A64" w:rsidP="00982B0D">
      <w:pPr>
        <w:ind w:firstLine="709"/>
        <w:jc w:val="both"/>
        <w:rPr>
          <w:rFonts w:ascii="Century Gothic" w:hAnsi="Century Gothic"/>
          <w:sz w:val="22"/>
        </w:rPr>
      </w:pPr>
    </w:p>
    <w:p w:rsidR="00145A64" w:rsidRDefault="00145A64" w:rsidP="00145A64">
      <w:pPr>
        <w:pStyle w:val="Titolo2"/>
        <w:spacing w:line="360" w:lineRule="auto"/>
        <w:ind w:left="0"/>
        <w:rPr>
          <w:rFonts w:ascii="Century Gothic" w:hAnsi="Century Gothic"/>
          <w:b/>
          <w:sz w:val="22"/>
          <w:szCs w:val="22"/>
        </w:rPr>
      </w:pPr>
      <w:bookmarkStart w:id="4" w:name="_Toc348348873"/>
      <w:r w:rsidRPr="00145A64">
        <w:rPr>
          <w:rFonts w:ascii="Century Gothic" w:hAnsi="Century Gothic"/>
          <w:b/>
          <w:sz w:val="22"/>
          <w:szCs w:val="22"/>
        </w:rPr>
        <w:t>PIANO DEGLI INDICATORI E DEI RISULTATI DI BILANCIO</w:t>
      </w:r>
      <w:bookmarkEnd w:id="4"/>
    </w:p>
    <w:p w:rsidR="00AA0B1E" w:rsidRPr="00AA0B1E" w:rsidRDefault="00AA0B1E" w:rsidP="00AA0B1E"/>
    <w:p w:rsidR="00145A64" w:rsidRPr="00145A64" w:rsidRDefault="00960A9E" w:rsidP="00960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In ottemperanza a quanto previsto dalla  Circolare del Mef .35 del 22.08.2013 ,</w:t>
      </w:r>
    </w:p>
    <w:p w:rsidR="00145A64" w:rsidRDefault="00145A64" w:rsidP="00960A9E">
      <w:pPr>
        <w:jc w:val="both"/>
        <w:rPr>
          <w:rFonts w:ascii="Century Gothic" w:hAnsi="Century Gothic"/>
          <w:sz w:val="22"/>
          <w:szCs w:val="22"/>
        </w:rPr>
      </w:pPr>
      <w:r w:rsidRPr="00145A64">
        <w:rPr>
          <w:rFonts w:ascii="Century Gothic" w:hAnsi="Century Gothic"/>
          <w:sz w:val="22"/>
          <w:szCs w:val="22"/>
        </w:rPr>
        <w:t xml:space="preserve"> l’Ente, nell’ambito de</w:t>
      </w:r>
      <w:r>
        <w:rPr>
          <w:rFonts w:ascii="Century Gothic" w:hAnsi="Century Gothic"/>
          <w:sz w:val="22"/>
          <w:szCs w:val="22"/>
        </w:rPr>
        <w:t>l</w:t>
      </w:r>
      <w:r w:rsidRPr="00145A64">
        <w:rPr>
          <w:rFonts w:ascii="Century Gothic" w:hAnsi="Century Gothic"/>
          <w:sz w:val="22"/>
          <w:szCs w:val="22"/>
        </w:rPr>
        <w:t>l</w:t>
      </w:r>
      <w:r>
        <w:rPr>
          <w:rFonts w:ascii="Century Gothic" w:hAnsi="Century Gothic"/>
          <w:sz w:val="22"/>
          <w:szCs w:val="22"/>
        </w:rPr>
        <w:t>a</w:t>
      </w:r>
      <w:r w:rsidRPr="00145A6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predisposizione del budget </w:t>
      </w:r>
      <w:r w:rsidR="00960A9E">
        <w:rPr>
          <w:rFonts w:ascii="Century Gothic" w:hAnsi="Century Gothic"/>
          <w:sz w:val="22"/>
          <w:szCs w:val="22"/>
        </w:rPr>
        <w:t>annuale</w:t>
      </w:r>
      <w:r w:rsidRPr="00145A64">
        <w:rPr>
          <w:rFonts w:ascii="Century Gothic" w:hAnsi="Century Gothic"/>
          <w:sz w:val="22"/>
          <w:szCs w:val="22"/>
        </w:rPr>
        <w:t xml:space="preserve">, espone </w:t>
      </w:r>
      <w:r w:rsidR="00960A9E">
        <w:rPr>
          <w:rFonts w:ascii="Century Gothic" w:hAnsi="Century Gothic"/>
          <w:sz w:val="22"/>
          <w:szCs w:val="22"/>
        </w:rPr>
        <w:t xml:space="preserve">anche </w:t>
      </w:r>
      <w:r w:rsidRPr="00145A64">
        <w:rPr>
          <w:rFonts w:ascii="Century Gothic" w:hAnsi="Century Gothic"/>
          <w:sz w:val="22"/>
          <w:szCs w:val="22"/>
        </w:rPr>
        <w:t>il “Piano degli indicatori e dei risultati attesi di bilancio” al fine di illustrare gli obie</w:t>
      </w:r>
      <w:r w:rsidR="0092223C">
        <w:rPr>
          <w:rFonts w:ascii="Century Gothic" w:hAnsi="Century Gothic"/>
          <w:sz w:val="22"/>
          <w:szCs w:val="22"/>
        </w:rPr>
        <w:t xml:space="preserve">ttivi di impiego delle risorse e </w:t>
      </w:r>
      <w:r w:rsidRPr="00145A64">
        <w:rPr>
          <w:rFonts w:ascii="Century Gothic" w:hAnsi="Century Gothic"/>
          <w:sz w:val="22"/>
          <w:szCs w:val="22"/>
        </w:rPr>
        <w:t xml:space="preserve">i risultati </w:t>
      </w:r>
      <w:r>
        <w:rPr>
          <w:rFonts w:ascii="Century Gothic" w:hAnsi="Century Gothic"/>
          <w:sz w:val="22"/>
          <w:szCs w:val="22"/>
        </w:rPr>
        <w:t xml:space="preserve">che intende </w:t>
      </w:r>
      <w:r w:rsidRPr="00145A64">
        <w:rPr>
          <w:rFonts w:ascii="Century Gothic" w:hAnsi="Century Gothic"/>
          <w:sz w:val="22"/>
          <w:szCs w:val="22"/>
        </w:rPr>
        <w:t>consegui</w:t>
      </w:r>
      <w:r>
        <w:rPr>
          <w:rFonts w:ascii="Century Gothic" w:hAnsi="Century Gothic"/>
          <w:sz w:val="22"/>
          <w:szCs w:val="22"/>
        </w:rPr>
        <w:t>re</w:t>
      </w:r>
      <w:r w:rsidR="0092223C">
        <w:rPr>
          <w:rFonts w:ascii="Century Gothic" w:hAnsi="Century Gothic"/>
          <w:sz w:val="22"/>
          <w:szCs w:val="22"/>
        </w:rPr>
        <w:t>.</w:t>
      </w:r>
    </w:p>
    <w:p w:rsidR="001951EF" w:rsidRDefault="001951EF" w:rsidP="00960A9E">
      <w:pPr>
        <w:jc w:val="both"/>
        <w:rPr>
          <w:rFonts w:ascii="Century Gothic" w:hAnsi="Century Gothic"/>
          <w:sz w:val="22"/>
          <w:szCs w:val="22"/>
        </w:rPr>
      </w:pPr>
    </w:p>
    <w:p w:rsidR="000E3FC5" w:rsidRDefault="001951EF" w:rsidP="00960A9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 progetti istituzionali</w:t>
      </w:r>
      <w:r w:rsidR="00877EF5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="005D1D86">
        <w:rPr>
          <w:rFonts w:ascii="Century Gothic" w:hAnsi="Century Gothic"/>
          <w:sz w:val="22"/>
          <w:szCs w:val="22"/>
        </w:rPr>
        <w:t>quali l’associazionismo e l’educazione stradale</w:t>
      </w:r>
      <w:r w:rsidR="00877EF5">
        <w:rPr>
          <w:rFonts w:ascii="Century Gothic" w:hAnsi="Century Gothic"/>
          <w:sz w:val="22"/>
          <w:szCs w:val="22"/>
        </w:rPr>
        <w:t>,</w:t>
      </w:r>
      <w:r w:rsidR="005D1D8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sono alla base dell’attività dell’Ente</w:t>
      </w:r>
      <w:r w:rsidR="005D1D86">
        <w:rPr>
          <w:rFonts w:ascii="Century Gothic" w:hAnsi="Century Gothic"/>
          <w:sz w:val="22"/>
          <w:szCs w:val="22"/>
        </w:rPr>
        <w:t>.</w:t>
      </w:r>
      <w:r w:rsidR="00D21F53">
        <w:rPr>
          <w:rFonts w:ascii="Century Gothic" w:hAnsi="Century Gothic"/>
          <w:sz w:val="22"/>
          <w:szCs w:val="22"/>
        </w:rPr>
        <w:t xml:space="preserve"> </w:t>
      </w:r>
      <w:r w:rsidR="0095338F">
        <w:rPr>
          <w:rFonts w:ascii="Century Gothic" w:hAnsi="Century Gothic"/>
          <w:sz w:val="22"/>
          <w:szCs w:val="22"/>
        </w:rPr>
        <w:t xml:space="preserve">Nel 2016 obiettivo primario dell’Ente sarà, la riapertura della delegazione </w:t>
      </w:r>
      <w:r w:rsidR="000E3FC5">
        <w:rPr>
          <w:rFonts w:ascii="Century Gothic" w:hAnsi="Century Gothic"/>
          <w:sz w:val="22"/>
          <w:szCs w:val="22"/>
        </w:rPr>
        <w:t xml:space="preserve">di Osteria Nuova, chiusa nel corso del 2015, in modo da contrastare l’inevitabile perdita di base associativa. </w:t>
      </w:r>
    </w:p>
    <w:p w:rsidR="00A31247" w:rsidRDefault="000E3FC5" w:rsidP="00960A9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Il mantenimento del parco associativo sarà assicurato anche da u</w:t>
      </w:r>
      <w:r w:rsidR="00594BF3">
        <w:rPr>
          <w:rFonts w:ascii="Century Gothic" w:hAnsi="Century Gothic"/>
          <w:sz w:val="22"/>
          <w:szCs w:val="22"/>
        </w:rPr>
        <w:t>n’importante convenzione</w:t>
      </w:r>
      <w:r w:rsidR="00A31247">
        <w:rPr>
          <w:rFonts w:ascii="Century Gothic" w:hAnsi="Century Gothic"/>
          <w:sz w:val="22"/>
          <w:szCs w:val="22"/>
        </w:rPr>
        <w:t xml:space="preserve"> siglata con l’Avis Provinciale di Rieti, </w:t>
      </w:r>
      <w:r w:rsidR="00594BF3">
        <w:rPr>
          <w:rFonts w:ascii="Century Gothic" w:hAnsi="Century Gothic"/>
          <w:sz w:val="22"/>
          <w:szCs w:val="22"/>
        </w:rPr>
        <w:t xml:space="preserve"> associazione che annovera </w:t>
      </w:r>
      <w:r w:rsidR="00A31247">
        <w:rPr>
          <w:rFonts w:ascii="Century Gothic" w:hAnsi="Century Gothic"/>
          <w:sz w:val="22"/>
          <w:szCs w:val="22"/>
        </w:rPr>
        <w:t xml:space="preserve"> più </w:t>
      </w:r>
      <w:r>
        <w:rPr>
          <w:rFonts w:ascii="Century Gothic" w:hAnsi="Century Gothic"/>
          <w:sz w:val="22"/>
          <w:szCs w:val="22"/>
        </w:rPr>
        <w:t xml:space="preserve">di 2000 </w:t>
      </w:r>
      <w:r w:rsidR="00594BF3">
        <w:rPr>
          <w:rFonts w:ascii="Century Gothic" w:hAnsi="Century Gothic"/>
          <w:sz w:val="22"/>
          <w:szCs w:val="22"/>
        </w:rPr>
        <w:t>iscritti</w:t>
      </w:r>
      <w:r w:rsidR="00A31247">
        <w:rPr>
          <w:rFonts w:ascii="Century Gothic" w:hAnsi="Century Gothic"/>
          <w:sz w:val="22"/>
          <w:szCs w:val="22"/>
        </w:rPr>
        <w:t xml:space="preserve">, </w:t>
      </w:r>
      <w:r w:rsidR="00594BF3">
        <w:rPr>
          <w:rFonts w:ascii="Century Gothic" w:hAnsi="Century Gothic"/>
          <w:sz w:val="22"/>
          <w:szCs w:val="22"/>
        </w:rPr>
        <w:t xml:space="preserve">e </w:t>
      </w:r>
      <w:r w:rsidR="00A31247">
        <w:rPr>
          <w:rFonts w:ascii="Century Gothic" w:hAnsi="Century Gothic"/>
          <w:sz w:val="22"/>
          <w:szCs w:val="22"/>
        </w:rPr>
        <w:t xml:space="preserve">che </w:t>
      </w:r>
      <w:r w:rsidR="00033DCC">
        <w:rPr>
          <w:rFonts w:ascii="Century Gothic" w:hAnsi="Century Gothic"/>
          <w:sz w:val="22"/>
          <w:szCs w:val="22"/>
        </w:rPr>
        <w:t xml:space="preserve">si prevede </w:t>
      </w:r>
      <w:r w:rsidR="00A31247">
        <w:rPr>
          <w:rFonts w:ascii="Century Gothic" w:hAnsi="Century Gothic"/>
          <w:sz w:val="22"/>
          <w:szCs w:val="22"/>
        </w:rPr>
        <w:t xml:space="preserve">possa </w:t>
      </w:r>
      <w:r>
        <w:rPr>
          <w:rFonts w:ascii="Century Gothic" w:hAnsi="Century Gothic"/>
          <w:sz w:val="22"/>
          <w:szCs w:val="22"/>
        </w:rPr>
        <w:t xml:space="preserve">portare </w:t>
      </w:r>
      <w:r w:rsidR="00A31247">
        <w:rPr>
          <w:rFonts w:ascii="Century Gothic" w:hAnsi="Century Gothic"/>
          <w:sz w:val="22"/>
          <w:szCs w:val="22"/>
        </w:rPr>
        <w:t xml:space="preserve">all’Ac </w:t>
      </w:r>
      <w:r w:rsidR="006558C4">
        <w:rPr>
          <w:rFonts w:ascii="Century Gothic" w:hAnsi="Century Gothic"/>
          <w:sz w:val="22"/>
          <w:szCs w:val="22"/>
        </w:rPr>
        <w:t xml:space="preserve"> nuovi associati</w:t>
      </w:r>
      <w:r w:rsidR="00A31247">
        <w:rPr>
          <w:rFonts w:ascii="Century Gothic" w:hAnsi="Century Gothic"/>
          <w:sz w:val="22"/>
          <w:szCs w:val="22"/>
        </w:rPr>
        <w:t>.</w:t>
      </w:r>
    </w:p>
    <w:p w:rsidR="00A31247" w:rsidRDefault="00A31247" w:rsidP="00960A9E">
      <w:pPr>
        <w:jc w:val="both"/>
        <w:rPr>
          <w:rFonts w:ascii="Century Gothic" w:hAnsi="Century Gothic"/>
          <w:sz w:val="22"/>
          <w:szCs w:val="22"/>
        </w:rPr>
      </w:pPr>
    </w:p>
    <w:p w:rsidR="001951EF" w:rsidRDefault="00A31247" w:rsidP="00960A9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</w:t>
      </w:r>
      <w:r w:rsidR="002B7FF5">
        <w:rPr>
          <w:rFonts w:ascii="Century Gothic" w:hAnsi="Century Gothic"/>
          <w:sz w:val="22"/>
          <w:szCs w:val="22"/>
        </w:rPr>
        <w:t>che nel 20</w:t>
      </w:r>
      <w:r w:rsidR="00C35779">
        <w:rPr>
          <w:rFonts w:ascii="Century Gothic" w:hAnsi="Century Gothic"/>
          <w:sz w:val="22"/>
          <w:szCs w:val="22"/>
        </w:rPr>
        <w:t>1</w:t>
      </w:r>
      <w:r w:rsidR="00D21F53">
        <w:rPr>
          <w:rFonts w:ascii="Century Gothic" w:hAnsi="Century Gothic"/>
          <w:sz w:val="22"/>
          <w:szCs w:val="22"/>
        </w:rPr>
        <w:t>6</w:t>
      </w:r>
      <w:r w:rsidR="00C35779">
        <w:rPr>
          <w:rFonts w:ascii="Century Gothic" w:hAnsi="Century Gothic"/>
          <w:sz w:val="22"/>
          <w:szCs w:val="22"/>
        </w:rPr>
        <w:t xml:space="preserve">, </w:t>
      </w:r>
      <w:r w:rsidR="008B67B3">
        <w:rPr>
          <w:rFonts w:ascii="Century Gothic" w:hAnsi="Century Gothic"/>
          <w:sz w:val="22"/>
          <w:szCs w:val="22"/>
        </w:rPr>
        <w:t>grazie al</w:t>
      </w:r>
      <w:r w:rsidR="001951EF">
        <w:rPr>
          <w:rFonts w:ascii="Century Gothic" w:hAnsi="Century Gothic"/>
          <w:sz w:val="22"/>
          <w:szCs w:val="22"/>
        </w:rPr>
        <w:t>la collaborazione con la Sara As</w:t>
      </w:r>
      <w:r w:rsidR="005D1D86">
        <w:rPr>
          <w:rFonts w:ascii="Century Gothic" w:hAnsi="Century Gothic"/>
          <w:sz w:val="22"/>
          <w:szCs w:val="22"/>
        </w:rPr>
        <w:t>sicurazione e con Aci Rete, si punterà al miglioramento della qualità delle tessere sociali v</w:t>
      </w:r>
      <w:r w:rsidR="008B67B3">
        <w:rPr>
          <w:rFonts w:ascii="Century Gothic" w:hAnsi="Century Gothic"/>
          <w:sz w:val="22"/>
          <w:szCs w:val="22"/>
        </w:rPr>
        <w:t>endute</w:t>
      </w:r>
      <w:r w:rsidR="00877EF5">
        <w:rPr>
          <w:rFonts w:ascii="Century Gothic" w:hAnsi="Century Gothic"/>
          <w:sz w:val="22"/>
          <w:szCs w:val="22"/>
        </w:rPr>
        <w:t xml:space="preserve"> e al</w:t>
      </w:r>
      <w:r w:rsidR="00503317">
        <w:rPr>
          <w:rFonts w:ascii="Century Gothic" w:hAnsi="Century Gothic"/>
          <w:sz w:val="22"/>
          <w:szCs w:val="22"/>
        </w:rPr>
        <w:t>la</w:t>
      </w:r>
      <w:r w:rsidR="00877EF5">
        <w:rPr>
          <w:rFonts w:ascii="Century Gothic" w:hAnsi="Century Gothic"/>
          <w:sz w:val="22"/>
          <w:szCs w:val="22"/>
        </w:rPr>
        <w:t xml:space="preserve"> p</w:t>
      </w:r>
      <w:r w:rsidR="008B67B3">
        <w:rPr>
          <w:rFonts w:ascii="Century Gothic" w:hAnsi="Century Gothic"/>
          <w:sz w:val="22"/>
          <w:szCs w:val="22"/>
        </w:rPr>
        <w:t>romozione</w:t>
      </w:r>
      <w:r w:rsidR="00877EF5">
        <w:rPr>
          <w:rFonts w:ascii="Century Gothic" w:hAnsi="Century Gothic"/>
          <w:sz w:val="22"/>
          <w:szCs w:val="22"/>
        </w:rPr>
        <w:t xml:space="preserve"> dei C</w:t>
      </w:r>
      <w:r w:rsidR="005D1D86">
        <w:rPr>
          <w:rFonts w:ascii="Century Gothic" w:hAnsi="Century Gothic"/>
          <w:sz w:val="22"/>
          <w:szCs w:val="22"/>
        </w:rPr>
        <w:t>ontratt</w:t>
      </w:r>
      <w:r w:rsidR="00877EF5">
        <w:rPr>
          <w:rFonts w:ascii="Century Gothic" w:hAnsi="Century Gothic"/>
          <w:sz w:val="22"/>
          <w:szCs w:val="22"/>
        </w:rPr>
        <w:t>i O</w:t>
      </w:r>
      <w:r w:rsidR="005D1D86">
        <w:rPr>
          <w:rFonts w:ascii="Century Gothic" w:hAnsi="Century Gothic"/>
          <w:sz w:val="22"/>
          <w:szCs w:val="22"/>
        </w:rPr>
        <w:t xml:space="preserve">n Line </w:t>
      </w:r>
      <w:r w:rsidR="00877EF5">
        <w:rPr>
          <w:rFonts w:ascii="Century Gothic" w:hAnsi="Century Gothic"/>
          <w:sz w:val="22"/>
          <w:szCs w:val="22"/>
        </w:rPr>
        <w:t xml:space="preserve">che hanno il </w:t>
      </w:r>
      <w:r w:rsidR="005D1D86">
        <w:rPr>
          <w:rFonts w:ascii="Century Gothic" w:hAnsi="Century Gothic"/>
          <w:sz w:val="22"/>
          <w:szCs w:val="22"/>
        </w:rPr>
        <w:t xml:space="preserve">fine della fidelizzazione del socio. </w:t>
      </w:r>
    </w:p>
    <w:p w:rsidR="002B7FF5" w:rsidRDefault="002B7FF5" w:rsidP="00960A9E">
      <w:pPr>
        <w:jc w:val="both"/>
        <w:rPr>
          <w:rFonts w:ascii="Century Gothic" w:hAnsi="Century Gothic"/>
          <w:sz w:val="22"/>
          <w:szCs w:val="22"/>
        </w:rPr>
      </w:pPr>
    </w:p>
    <w:p w:rsidR="00BD1ABC" w:rsidRDefault="002B7FF5" w:rsidP="00960A9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 progetti rivolti alla sicurezza e alla educazione stradale avranno, anche nel 2016, un ruolo rilevante nell’attività dell’Ente che,</w:t>
      </w:r>
      <w:r w:rsidR="00594BF3">
        <w:rPr>
          <w:rFonts w:ascii="Century Gothic" w:hAnsi="Century Gothic"/>
          <w:sz w:val="22"/>
          <w:szCs w:val="22"/>
        </w:rPr>
        <w:t xml:space="preserve"> grazie al</w:t>
      </w:r>
      <w:r>
        <w:rPr>
          <w:rFonts w:ascii="Century Gothic" w:hAnsi="Century Gothic"/>
          <w:sz w:val="22"/>
          <w:szCs w:val="22"/>
        </w:rPr>
        <w:t xml:space="preserve">le sinergie con le istituzioni scolastiche e </w:t>
      </w:r>
      <w:r w:rsidR="00594BF3">
        <w:rPr>
          <w:rFonts w:ascii="Century Gothic" w:hAnsi="Century Gothic"/>
          <w:sz w:val="22"/>
          <w:szCs w:val="22"/>
        </w:rPr>
        <w:t xml:space="preserve"> con</w:t>
      </w:r>
      <w:r w:rsidR="00FD26D9">
        <w:rPr>
          <w:rFonts w:ascii="Century Gothic" w:hAnsi="Century Gothic"/>
          <w:sz w:val="22"/>
          <w:szCs w:val="22"/>
        </w:rPr>
        <w:t xml:space="preserve"> altre associazioni ed Enti </w:t>
      </w:r>
      <w:r>
        <w:rPr>
          <w:rFonts w:ascii="Century Gothic" w:hAnsi="Century Gothic"/>
          <w:sz w:val="22"/>
          <w:szCs w:val="22"/>
        </w:rPr>
        <w:t xml:space="preserve">, riaffermerà la propria presenza sul territorio provinciale </w:t>
      </w:r>
      <w:r w:rsidR="008835D8">
        <w:rPr>
          <w:rFonts w:ascii="Century Gothic" w:hAnsi="Century Gothic"/>
          <w:sz w:val="22"/>
          <w:szCs w:val="22"/>
        </w:rPr>
        <w:t xml:space="preserve">anche </w:t>
      </w:r>
      <w:r>
        <w:rPr>
          <w:rFonts w:ascii="Century Gothic" w:hAnsi="Century Gothic"/>
          <w:sz w:val="22"/>
          <w:szCs w:val="22"/>
        </w:rPr>
        <w:t xml:space="preserve">attraverso la divulgazione di importanti </w:t>
      </w:r>
      <w:r w:rsidR="00594BF3">
        <w:rPr>
          <w:rFonts w:ascii="Century Gothic" w:hAnsi="Century Gothic"/>
          <w:sz w:val="22"/>
          <w:szCs w:val="22"/>
        </w:rPr>
        <w:t xml:space="preserve">contenuti sulla sicurezza </w:t>
      </w:r>
      <w:r w:rsidR="008835D8">
        <w:rPr>
          <w:rFonts w:ascii="Century Gothic" w:hAnsi="Century Gothic"/>
          <w:sz w:val="22"/>
          <w:szCs w:val="22"/>
        </w:rPr>
        <w:t>stradale.</w:t>
      </w:r>
      <w:r w:rsidR="00594BF3">
        <w:rPr>
          <w:rFonts w:ascii="Century Gothic" w:hAnsi="Century Gothic"/>
          <w:sz w:val="22"/>
          <w:szCs w:val="22"/>
        </w:rPr>
        <w:t xml:space="preserve"> </w:t>
      </w:r>
    </w:p>
    <w:p w:rsidR="00BD1ABC" w:rsidRDefault="00BD1ABC" w:rsidP="00960A9E">
      <w:pPr>
        <w:jc w:val="both"/>
        <w:rPr>
          <w:rFonts w:ascii="Century Gothic" w:hAnsi="Century Gothic"/>
          <w:sz w:val="22"/>
          <w:szCs w:val="22"/>
        </w:rPr>
      </w:pPr>
    </w:p>
    <w:p w:rsidR="000565B6" w:rsidRDefault="001B348B" w:rsidP="00960A9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Dopo il successo ottenuto dall’ultima</w:t>
      </w:r>
      <w:r w:rsidR="008835D8">
        <w:rPr>
          <w:rFonts w:ascii="Century Gothic" w:hAnsi="Century Gothic"/>
          <w:sz w:val="22"/>
          <w:szCs w:val="22"/>
        </w:rPr>
        <w:t xml:space="preserve"> edizione, l’Automobile Club, anche per il 2016 ha tra i sui principali progetti la realizzazione della 54^ Rieti – Terminillo, manifestazione che pone la città di Rieti sotto i riflettori internazionali evidenziando le elevate capacità organizzative dell’Ente nonostante le limitate risorse a disposizione. </w:t>
      </w:r>
    </w:p>
    <w:p w:rsidR="0092223C" w:rsidRPr="00145A64" w:rsidRDefault="0092223C" w:rsidP="00960A9E">
      <w:pPr>
        <w:jc w:val="both"/>
        <w:rPr>
          <w:rFonts w:ascii="Century Gothic" w:hAnsi="Century Gothic"/>
          <w:sz w:val="22"/>
          <w:szCs w:val="22"/>
        </w:rPr>
      </w:pPr>
    </w:p>
    <w:p w:rsidR="00145A64" w:rsidRPr="00145A64" w:rsidRDefault="00145A64" w:rsidP="00960A9E">
      <w:pPr>
        <w:jc w:val="both"/>
        <w:rPr>
          <w:rFonts w:ascii="Century Gothic" w:hAnsi="Century Gothic"/>
          <w:sz w:val="22"/>
          <w:szCs w:val="22"/>
        </w:rPr>
      </w:pPr>
      <w:r w:rsidRPr="00145A64">
        <w:rPr>
          <w:rFonts w:ascii="Century Gothic" w:hAnsi="Century Gothic"/>
          <w:sz w:val="22"/>
          <w:szCs w:val="22"/>
        </w:rPr>
        <w:t xml:space="preserve">Quanto precede viene </w:t>
      </w:r>
      <w:r w:rsidR="0092223C">
        <w:rPr>
          <w:rFonts w:ascii="Century Gothic" w:hAnsi="Century Gothic"/>
          <w:sz w:val="22"/>
          <w:szCs w:val="22"/>
        </w:rPr>
        <w:t>esposto</w:t>
      </w:r>
      <w:r w:rsidRPr="00145A64">
        <w:rPr>
          <w:rFonts w:ascii="Century Gothic" w:hAnsi="Century Gothic"/>
          <w:sz w:val="22"/>
          <w:szCs w:val="22"/>
        </w:rPr>
        <w:t xml:space="preserve"> in tabelle di sintesi</w:t>
      </w:r>
      <w:r w:rsidR="00960A9E">
        <w:rPr>
          <w:rFonts w:ascii="Century Gothic" w:hAnsi="Century Gothic"/>
          <w:sz w:val="22"/>
          <w:szCs w:val="22"/>
        </w:rPr>
        <w:t xml:space="preserve">, riportate </w:t>
      </w:r>
      <w:r w:rsidR="00960A9E" w:rsidRPr="00960A9E">
        <w:rPr>
          <w:rFonts w:ascii="Century Gothic" w:hAnsi="Century Gothic"/>
          <w:b/>
          <w:sz w:val="22"/>
          <w:szCs w:val="22"/>
        </w:rPr>
        <w:t>nell’allegato 3</w:t>
      </w:r>
      <w:r w:rsidR="00960A9E">
        <w:rPr>
          <w:rFonts w:ascii="Century Gothic" w:hAnsi="Century Gothic"/>
          <w:sz w:val="22"/>
          <w:szCs w:val="22"/>
        </w:rPr>
        <w:t>,</w:t>
      </w:r>
      <w:r w:rsidRPr="00145A64">
        <w:rPr>
          <w:rFonts w:ascii="Century Gothic" w:hAnsi="Century Gothic"/>
          <w:sz w:val="22"/>
          <w:szCs w:val="22"/>
        </w:rPr>
        <w:t xml:space="preserve"> che illustrano, dapprima, il piano degli obiettivi per attività con suddivisione dei costi della produzione, poi, il piano dei progetti eventualmente attivatati a livello locale, infine, l’insieme degli indicatori utilizzati per la misurazione degli obiettivi con evidenza della percentuale di co</w:t>
      </w:r>
      <w:r w:rsidR="00960A9E">
        <w:rPr>
          <w:rFonts w:ascii="Century Gothic" w:hAnsi="Century Gothic"/>
          <w:sz w:val="22"/>
          <w:szCs w:val="22"/>
        </w:rPr>
        <w:t xml:space="preserve">nseguimento dei target fissati. </w:t>
      </w:r>
    </w:p>
    <w:p w:rsidR="00145A64" w:rsidRPr="00145A64" w:rsidRDefault="00145A64" w:rsidP="00145A6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B478EC" w:rsidRDefault="00B478EC" w:rsidP="004079E2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Per quanto sopra illustrato si propone l’approvazione del  Budget Annuale  per l’ese</w:t>
      </w:r>
      <w:r w:rsidR="00E54B34">
        <w:rPr>
          <w:rFonts w:ascii="Century Gothic" w:hAnsi="Century Gothic"/>
          <w:sz w:val="22"/>
        </w:rPr>
        <w:t>rcizio 201</w:t>
      </w:r>
      <w:r w:rsidR="00F857AC">
        <w:rPr>
          <w:rFonts w:ascii="Century Gothic" w:hAnsi="Century Gothic"/>
          <w:sz w:val="22"/>
        </w:rPr>
        <w:t>6</w:t>
      </w:r>
      <w:r w:rsidR="00D2128E">
        <w:rPr>
          <w:rFonts w:ascii="Century Gothic" w:hAnsi="Century Gothic"/>
          <w:sz w:val="22"/>
        </w:rPr>
        <w:t xml:space="preserve"> comprensivo di tutti i suoi allegati.</w:t>
      </w:r>
    </w:p>
    <w:p w:rsidR="00B478EC" w:rsidRDefault="00B478EC" w:rsidP="00B478EC">
      <w:pPr>
        <w:jc w:val="both"/>
        <w:rPr>
          <w:rFonts w:ascii="Century Gothic" w:hAnsi="Century Gothic"/>
          <w:sz w:val="22"/>
        </w:rPr>
      </w:pPr>
    </w:p>
    <w:p w:rsidR="00A31F76" w:rsidRDefault="00A31F76" w:rsidP="00B478EC">
      <w:pPr>
        <w:jc w:val="both"/>
        <w:rPr>
          <w:rFonts w:ascii="Century Gothic" w:hAnsi="Century Gothic"/>
          <w:sz w:val="22"/>
        </w:rPr>
      </w:pPr>
    </w:p>
    <w:p w:rsidR="00B478EC" w:rsidRDefault="00F857AC" w:rsidP="00B478EC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Rieti, 30</w:t>
      </w:r>
      <w:r w:rsidR="00A31F76">
        <w:rPr>
          <w:rFonts w:ascii="Century Gothic" w:hAnsi="Century Gothic"/>
          <w:sz w:val="22"/>
        </w:rPr>
        <w:t xml:space="preserve"> ottobre 201</w:t>
      </w:r>
      <w:r>
        <w:rPr>
          <w:rFonts w:ascii="Century Gothic" w:hAnsi="Century Gothic"/>
          <w:sz w:val="22"/>
        </w:rPr>
        <w:t>5</w:t>
      </w:r>
    </w:p>
    <w:p w:rsidR="00E61D02" w:rsidRDefault="00B478EC" w:rsidP="00B478EC">
      <w:pPr>
        <w:pStyle w:val="notaintegrativatabelle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</w:p>
    <w:p w:rsidR="00E61D02" w:rsidRDefault="006E2E0A" w:rsidP="00B478EC">
      <w:pPr>
        <w:pStyle w:val="notaintegrativatabell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43180</wp:posOffset>
            </wp:positionV>
            <wp:extent cx="3284855" cy="1362710"/>
            <wp:effectExtent l="19050" t="0" r="0" b="0"/>
            <wp:wrapNone/>
            <wp:docPr id="2" name="Immagine 1" descr="Firma Presidente Nu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Presidente Nuova.jp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8EC" w:rsidRDefault="00E61D02" w:rsidP="00B478EC">
      <w:pPr>
        <w:pStyle w:val="notaintegrativatabelle"/>
        <w:rPr>
          <w:rFonts w:ascii="Century Gothic" w:hAnsi="Century Gothic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8EC">
        <w:tab/>
      </w:r>
      <w:r w:rsidR="00B478EC" w:rsidRPr="00A31F76">
        <w:rPr>
          <w:rFonts w:ascii="Century Gothic" w:hAnsi="Century Gothic"/>
          <w:sz w:val="22"/>
          <w:szCs w:val="22"/>
        </w:rPr>
        <w:t xml:space="preserve"> IL PRESIDENTE</w:t>
      </w:r>
      <w:r w:rsidR="00B478EC" w:rsidRPr="00A31F76">
        <w:rPr>
          <w:rFonts w:ascii="Century Gothic" w:hAnsi="Century Gothic"/>
          <w:sz w:val="22"/>
          <w:szCs w:val="22"/>
        </w:rPr>
        <w:tab/>
      </w:r>
      <w:r w:rsidR="00B478EC" w:rsidRPr="00A31F76">
        <w:rPr>
          <w:rFonts w:ascii="Century Gothic" w:hAnsi="Century Gothic"/>
          <w:sz w:val="22"/>
          <w:szCs w:val="22"/>
        </w:rPr>
        <w:tab/>
      </w:r>
      <w:r w:rsidR="00B478EC" w:rsidRPr="00A31F76">
        <w:rPr>
          <w:rFonts w:ascii="Century Gothic" w:hAnsi="Century Gothic"/>
          <w:sz w:val="22"/>
          <w:szCs w:val="22"/>
        </w:rPr>
        <w:tab/>
      </w:r>
      <w:r w:rsidR="00B478EC" w:rsidRPr="00A31F76">
        <w:rPr>
          <w:rFonts w:ascii="Century Gothic" w:hAnsi="Century Gothic"/>
          <w:sz w:val="22"/>
          <w:szCs w:val="22"/>
        </w:rPr>
        <w:tab/>
      </w:r>
      <w:r w:rsidR="00B478EC" w:rsidRPr="00A31F76">
        <w:rPr>
          <w:rFonts w:ascii="Century Gothic" w:hAnsi="Century Gothic"/>
          <w:sz w:val="22"/>
          <w:szCs w:val="22"/>
        </w:rPr>
        <w:tab/>
      </w:r>
      <w:r w:rsidR="00B478EC" w:rsidRPr="00A31F76">
        <w:rPr>
          <w:rFonts w:ascii="Century Gothic" w:hAnsi="Century Gothic"/>
          <w:sz w:val="22"/>
          <w:szCs w:val="22"/>
        </w:rPr>
        <w:tab/>
      </w:r>
      <w:r w:rsidR="00B478EC" w:rsidRPr="00A31F76">
        <w:rPr>
          <w:rFonts w:ascii="Century Gothic" w:hAnsi="Century Gothic"/>
          <w:sz w:val="22"/>
          <w:szCs w:val="22"/>
        </w:rPr>
        <w:tab/>
        <w:t xml:space="preserve">  </w:t>
      </w:r>
      <w:r w:rsidR="00B478EC" w:rsidRPr="00A31F76">
        <w:rPr>
          <w:rFonts w:ascii="Century Gothic" w:hAnsi="Century Gothic"/>
          <w:sz w:val="22"/>
          <w:szCs w:val="22"/>
        </w:rPr>
        <w:tab/>
        <w:t xml:space="preserve">      </w:t>
      </w:r>
      <w:r w:rsidR="00A31F76">
        <w:rPr>
          <w:rFonts w:ascii="Century Gothic" w:hAnsi="Century Gothic"/>
          <w:sz w:val="22"/>
          <w:szCs w:val="22"/>
        </w:rPr>
        <w:t xml:space="preserve">    </w:t>
      </w:r>
      <w:r w:rsidR="00B478EC" w:rsidRPr="00A31F76">
        <w:rPr>
          <w:rFonts w:ascii="Century Gothic" w:hAnsi="Century Gothic"/>
          <w:sz w:val="22"/>
          <w:szCs w:val="22"/>
        </w:rPr>
        <w:t>Avv. Innocenzo de Sanctis</w:t>
      </w:r>
    </w:p>
    <w:p w:rsidR="006E2E0A" w:rsidRDefault="006E2E0A" w:rsidP="00B478EC">
      <w:pPr>
        <w:pStyle w:val="notaintegrativatabelle"/>
        <w:rPr>
          <w:rFonts w:ascii="Century Gothic" w:hAnsi="Century Gothic"/>
          <w:sz w:val="22"/>
          <w:szCs w:val="22"/>
        </w:rPr>
      </w:pPr>
    </w:p>
    <w:sectPr w:rsidR="006E2E0A" w:rsidSect="009D11ED">
      <w:footerReference w:type="even" r:id="rId46"/>
      <w:footerReference w:type="default" r:id="rId47"/>
      <w:pgSz w:w="11907" w:h="16840" w:code="9"/>
      <w:pgMar w:top="851" w:right="1701" w:bottom="1418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109" w:rsidRDefault="000C7109">
      <w:r>
        <w:separator/>
      </w:r>
    </w:p>
  </w:endnote>
  <w:endnote w:type="continuationSeparator" w:id="1">
    <w:p w:rsidR="000C7109" w:rsidRDefault="000C7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24B13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A9" w:rsidRDefault="008962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E4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47A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E47A9" w:rsidRDefault="00AE4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A9" w:rsidRDefault="008962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E4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2E0A">
      <w:rPr>
        <w:rStyle w:val="Numeropagina"/>
        <w:noProof/>
      </w:rPr>
      <w:t>13</w:t>
    </w:r>
    <w:r>
      <w:rPr>
        <w:rStyle w:val="Numeropagina"/>
      </w:rPr>
      <w:fldChar w:fldCharType="end"/>
    </w:r>
  </w:p>
  <w:p w:rsidR="00AE47A9" w:rsidRDefault="00AE4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109" w:rsidRDefault="000C7109">
      <w:r>
        <w:separator/>
      </w:r>
    </w:p>
  </w:footnote>
  <w:footnote w:type="continuationSeparator" w:id="1">
    <w:p w:rsidR="000C7109" w:rsidRDefault="000C7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03E8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C929E5"/>
    <w:multiLevelType w:val="hybridMultilevel"/>
    <w:tmpl w:val="4AD651B4"/>
    <w:lvl w:ilvl="0" w:tplc="421465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4B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60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08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04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8F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2D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27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C3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1778D"/>
    <w:multiLevelType w:val="singleLevel"/>
    <w:tmpl w:val="00DA1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11921D7"/>
    <w:multiLevelType w:val="hybridMultilevel"/>
    <w:tmpl w:val="E392E36E"/>
    <w:lvl w:ilvl="0" w:tplc="EBF6E20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409F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5DD4F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080198"/>
    <w:multiLevelType w:val="singleLevel"/>
    <w:tmpl w:val="8168F0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6E3DF0"/>
    <w:multiLevelType w:val="hybridMultilevel"/>
    <w:tmpl w:val="A60228BC"/>
    <w:lvl w:ilvl="0" w:tplc="7A84B6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A3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21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AB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5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4CD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0D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8B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07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E4ACC"/>
    <w:multiLevelType w:val="hybridMultilevel"/>
    <w:tmpl w:val="F9503416"/>
    <w:lvl w:ilvl="0" w:tplc="06DEC3C6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>
    <w:nsid w:val="65344E3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943C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BCD3992"/>
    <w:multiLevelType w:val="multilevel"/>
    <w:tmpl w:val="89608E5C"/>
    <w:lvl w:ilvl="0">
      <w:start w:val="4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7241CE"/>
    <w:rsid w:val="000027E6"/>
    <w:rsid w:val="00033DCC"/>
    <w:rsid w:val="000368AB"/>
    <w:rsid w:val="00041AC2"/>
    <w:rsid w:val="000565B6"/>
    <w:rsid w:val="00066EBD"/>
    <w:rsid w:val="000A4909"/>
    <w:rsid w:val="000A7663"/>
    <w:rsid w:val="000B53FA"/>
    <w:rsid w:val="000C7109"/>
    <w:rsid w:val="000E3160"/>
    <w:rsid w:val="000E3FC5"/>
    <w:rsid w:val="000F0250"/>
    <w:rsid w:val="001047ED"/>
    <w:rsid w:val="00117690"/>
    <w:rsid w:val="00145A64"/>
    <w:rsid w:val="00161E44"/>
    <w:rsid w:val="00163497"/>
    <w:rsid w:val="001951EF"/>
    <w:rsid w:val="00195B33"/>
    <w:rsid w:val="001A3854"/>
    <w:rsid w:val="001A6E3A"/>
    <w:rsid w:val="001B348B"/>
    <w:rsid w:val="001B622D"/>
    <w:rsid w:val="001C091F"/>
    <w:rsid w:val="001C1FF9"/>
    <w:rsid w:val="001F03A3"/>
    <w:rsid w:val="001F2345"/>
    <w:rsid w:val="001F5BA4"/>
    <w:rsid w:val="00221A7E"/>
    <w:rsid w:val="00251D9E"/>
    <w:rsid w:val="002652BE"/>
    <w:rsid w:val="00272D79"/>
    <w:rsid w:val="00282C67"/>
    <w:rsid w:val="00283F4D"/>
    <w:rsid w:val="00295042"/>
    <w:rsid w:val="002B2F4C"/>
    <w:rsid w:val="002B7FF5"/>
    <w:rsid w:val="002C11F9"/>
    <w:rsid w:val="002D0746"/>
    <w:rsid w:val="002D54E7"/>
    <w:rsid w:val="003118ED"/>
    <w:rsid w:val="00313F48"/>
    <w:rsid w:val="003236C5"/>
    <w:rsid w:val="0032535E"/>
    <w:rsid w:val="003306E1"/>
    <w:rsid w:val="003334CC"/>
    <w:rsid w:val="003335F5"/>
    <w:rsid w:val="00333760"/>
    <w:rsid w:val="003339B0"/>
    <w:rsid w:val="003341DA"/>
    <w:rsid w:val="00336E30"/>
    <w:rsid w:val="00341CBA"/>
    <w:rsid w:val="00343EF2"/>
    <w:rsid w:val="00364271"/>
    <w:rsid w:val="00373308"/>
    <w:rsid w:val="003779EF"/>
    <w:rsid w:val="003C1DB6"/>
    <w:rsid w:val="003C47B0"/>
    <w:rsid w:val="003D1F68"/>
    <w:rsid w:val="003E06FF"/>
    <w:rsid w:val="00401733"/>
    <w:rsid w:val="004079E2"/>
    <w:rsid w:val="00433475"/>
    <w:rsid w:val="00435B37"/>
    <w:rsid w:val="004366AB"/>
    <w:rsid w:val="00446336"/>
    <w:rsid w:val="00457CCB"/>
    <w:rsid w:val="00466501"/>
    <w:rsid w:val="00496286"/>
    <w:rsid w:val="004A23FC"/>
    <w:rsid w:val="004C1AF7"/>
    <w:rsid w:val="004E7EFD"/>
    <w:rsid w:val="004F4B17"/>
    <w:rsid w:val="00503317"/>
    <w:rsid w:val="00522389"/>
    <w:rsid w:val="00531475"/>
    <w:rsid w:val="00531567"/>
    <w:rsid w:val="005323DC"/>
    <w:rsid w:val="00542244"/>
    <w:rsid w:val="00553C74"/>
    <w:rsid w:val="00564D09"/>
    <w:rsid w:val="00575C22"/>
    <w:rsid w:val="00594BF3"/>
    <w:rsid w:val="005A017F"/>
    <w:rsid w:val="005A13BA"/>
    <w:rsid w:val="005D1D86"/>
    <w:rsid w:val="005F12EA"/>
    <w:rsid w:val="006000D1"/>
    <w:rsid w:val="006019D8"/>
    <w:rsid w:val="00602C81"/>
    <w:rsid w:val="006036A5"/>
    <w:rsid w:val="0062484B"/>
    <w:rsid w:val="00627711"/>
    <w:rsid w:val="00632638"/>
    <w:rsid w:val="00642881"/>
    <w:rsid w:val="006540E9"/>
    <w:rsid w:val="006558C4"/>
    <w:rsid w:val="00676345"/>
    <w:rsid w:val="00686EC5"/>
    <w:rsid w:val="00697B97"/>
    <w:rsid w:val="006A524C"/>
    <w:rsid w:val="006B34DC"/>
    <w:rsid w:val="006C1E74"/>
    <w:rsid w:val="006D5AB2"/>
    <w:rsid w:val="006E16D4"/>
    <w:rsid w:val="006E2E0A"/>
    <w:rsid w:val="006E5C27"/>
    <w:rsid w:val="006F2B8A"/>
    <w:rsid w:val="006F626D"/>
    <w:rsid w:val="00712558"/>
    <w:rsid w:val="0071273C"/>
    <w:rsid w:val="00717D1F"/>
    <w:rsid w:val="007230D3"/>
    <w:rsid w:val="00723470"/>
    <w:rsid w:val="007241CE"/>
    <w:rsid w:val="007369F2"/>
    <w:rsid w:val="00762BE5"/>
    <w:rsid w:val="007672D3"/>
    <w:rsid w:val="00777670"/>
    <w:rsid w:val="007817C2"/>
    <w:rsid w:val="00785EA2"/>
    <w:rsid w:val="007A1F30"/>
    <w:rsid w:val="007A4170"/>
    <w:rsid w:val="007B6534"/>
    <w:rsid w:val="007C7B88"/>
    <w:rsid w:val="007D34EE"/>
    <w:rsid w:val="007D563D"/>
    <w:rsid w:val="007E51FB"/>
    <w:rsid w:val="0080530C"/>
    <w:rsid w:val="00831D93"/>
    <w:rsid w:val="00833D2F"/>
    <w:rsid w:val="0085389F"/>
    <w:rsid w:val="0086665F"/>
    <w:rsid w:val="008774CA"/>
    <w:rsid w:val="00877EF5"/>
    <w:rsid w:val="00880A74"/>
    <w:rsid w:val="008835D8"/>
    <w:rsid w:val="00886B53"/>
    <w:rsid w:val="00891CC7"/>
    <w:rsid w:val="008961A5"/>
    <w:rsid w:val="00896299"/>
    <w:rsid w:val="008A642C"/>
    <w:rsid w:val="008B35FF"/>
    <w:rsid w:val="008B67B3"/>
    <w:rsid w:val="008C3636"/>
    <w:rsid w:val="008D0F72"/>
    <w:rsid w:val="008D5012"/>
    <w:rsid w:val="008E2C6C"/>
    <w:rsid w:val="008F1703"/>
    <w:rsid w:val="008F1D50"/>
    <w:rsid w:val="008F41E6"/>
    <w:rsid w:val="008F54A0"/>
    <w:rsid w:val="009121E2"/>
    <w:rsid w:val="00912411"/>
    <w:rsid w:val="00920182"/>
    <w:rsid w:val="0092223C"/>
    <w:rsid w:val="009374A0"/>
    <w:rsid w:val="00937769"/>
    <w:rsid w:val="00942A8B"/>
    <w:rsid w:val="00947463"/>
    <w:rsid w:val="009528CC"/>
    <w:rsid w:val="0095338F"/>
    <w:rsid w:val="00960A9E"/>
    <w:rsid w:val="00960E51"/>
    <w:rsid w:val="00962D7E"/>
    <w:rsid w:val="00963084"/>
    <w:rsid w:val="00963C1F"/>
    <w:rsid w:val="00964522"/>
    <w:rsid w:val="00975287"/>
    <w:rsid w:val="00982B0D"/>
    <w:rsid w:val="009833A7"/>
    <w:rsid w:val="00984507"/>
    <w:rsid w:val="009A08C4"/>
    <w:rsid w:val="009A5BD7"/>
    <w:rsid w:val="009C5005"/>
    <w:rsid w:val="009D11ED"/>
    <w:rsid w:val="009D20C1"/>
    <w:rsid w:val="009D217D"/>
    <w:rsid w:val="009D7638"/>
    <w:rsid w:val="009E10F4"/>
    <w:rsid w:val="009F3845"/>
    <w:rsid w:val="009F3EEF"/>
    <w:rsid w:val="009F6656"/>
    <w:rsid w:val="009F796C"/>
    <w:rsid w:val="00A10295"/>
    <w:rsid w:val="00A17935"/>
    <w:rsid w:val="00A2051C"/>
    <w:rsid w:val="00A2604B"/>
    <w:rsid w:val="00A30EFD"/>
    <w:rsid w:val="00A31247"/>
    <w:rsid w:val="00A31F76"/>
    <w:rsid w:val="00A45FED"/>
    <w:rsid w:val="00A55B7F"/>
    <w:rsid w:val="00A56DA5"/>
    <w:rsid w:val="00A76EFD"/>
    <w:rsid w:val="00A95201"/>
    <w:rsid w:val="00A97D79"/>
    <w:rsid w:val="00AA0B1E"/>
    <w:rsid w:val="00AB0FCA"/>
    <w:rsid w:val="00AC2596"/>
    <w:rsid w:val="00AE47A9"/>
    <w:rsid w:val="00B019E0"/>
    <w:rsid w:val="00B10F76"/>
    <w:rsid w:val="00B200AD"/>
    <w:rsid w:val="00B45BA3"/>
    <w:rsid w:val="00B478EC"/>
    <w:rsid w:val="00B5604B"/>
    <w:rsid w:val="00B743C2"/>
    <w:rsid w:val="00B8089D"/>
    <w:rsid w:val="00B82504"/>
    <w:rsid w:val="00B9194D"/>
    <w:rsid w:val="00B93C2A"/>
    <w:rsid w:val="00BB006A"/>
    <w:rsid w:val="00BD11AB"/>
    <w:rsid w:val="00BD1ABC"/>
    <w:rsid w:val="00BF59E3"/>
    <w:rsid w:val="00BF65AB"/>
    <w:rsid w:val="00C0496F"/>
    <w:rsid w:val="00C11738"/>
    <w:rsid w:val="00C1624D"/>
    <w:rsid w:val="00C26126"/>
    <w:rsid w:val="00C35779"/>
    <w:rsid w:val="00C4221C"/>
    <w:rsid w:val="00C424E6"/>
    <w:rsid w:val="00C463B6"/>
    <w:rsid w:val="00C53910"/>
    <w:rsid w:val="00C5518D"/>
    <w:rsid w:val="00C60873"/>
    <w:rsid w:val="00C64EF5"/>
    <w:rsid w:val="00C80316"/>
    <w:rsid w:val="00CA4DD4"/>
    <w:rsid w:val="00CD5998"/>
    <w:rsid w:val="00CF680B"/>
    <w:rsid w:val="00D117B1"/>
    <w:rsid w:val="00D11CAD"/>
    <w:rsid w:val="00D2128E"/>
    <w:rsid w:val="00D21F53"/>
    <w:rsid w:val="00D23437"/>
    <w:rsid w:val="00D32BFC"/>
    <w:rsid w:val="00D4016D"/>
    <w:rsid w:val="00D40D7F"/>
    <w:rsid w:val="00D65930"/>
    <w:rsid w:val="00D763BA"/>
    <w:rsid w:val="00D95688"/>
    <w:rsid w:val="00DA36C0"/>
    <w:rsid w:val="00DA6EC3"/>
    <w:rsid w:val="00DA73F5"/>
    <w:rsid w:val="00DB2A53"/>
    <w:rsid w:val="00DC0700"/>
    <w:rsid w:val="00DC2E56"/>
    <w:rsid w:val="00DC7BB7"/>
    <w:rsid w:val="00DD0E93"/>
    <w:rsid w:val="00DD5E46"/>
    <w:rsid w:val="00E05E14"/>
    <w:rsid w:val="00E102FF"/>
    <w:rsid w:val="00E16D06"/>
    <w:rsid w:val="00E35752"/>
    <w:rsid w:val="00E41AD8"/>
    <w:rsid w:val="00E54B34"/>
    <w:rsid w:val="00E61B52"/>
    <w:rsid w:val="00E61D02"/>
    <w:rsid w:val="00E63CE9"/>
    <w:rsid w:val="00E64304"/>
    <w:rsid w:val="00E771A7"/>
    <w:rsid w:val="00E9175B"/>
    <w:rsid w:val="00E92C40"/>
    <w:rsid w:val="00E954D6"/>
    <w:rsid w:val="00EC2601"/>
    <w:rsid w:val="00ED7140"/>
    <w:rsid w:val="00F508CE"/>
    <w:rsid w:val="00F51F32"/>
    <w:rsid w:val="00F6121D"/>
    <w:rsid w:val="00F62F16"/>
    <w:rsid w:val="00F64696"/>
    <w:rsid w:val="00F65A70"/>
    <w:rsid w:val="00F670C0"/>
    <w:rsid w:val="00F76D57"/>
    <w:rsid w:val="00F80DC6"/>
    <w:rsid w:val="00F84DA3"/>
    <w:rsid w:val="00F857AC"/>
    <w:rsid w:val="00FA0E23"/>
    <w:rsid w:val="00FB39D8"/>
    <w:rsid w:val="00FC2669"/>
    <w:rsid w:val="00FD225C"/>
    <w:rsid w:val="00FD26D9"/>
    <w:rsid w:val="00FF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1ED"/>
  </w:style>
  <w:style w:type="paragraph" w:styleId="Titolo1">
    <w:name w:val="heading 1"/>
    <w:basedOn w:val="Normale"/>
    <w:next w:val="Normale"/>
    <w:qFormat/>
    <w:rsid w:val="009D11ED"/>
    <w:pPr>
      <w:keepNext/>
      <w:outlineLvl w:val="0"/>
    </w:pPr>
    <w:rPr>
      <w:b/>
      <w:i/>
      <w:sz w:val="24"/>
      <w:u w:val="single"/>
    </w:rPr>
  </w:style>
  <w:style w:type="paragraph" w:styleId="Titolo2">
    <w:name w:val="heading 2"/>
    <w:basedOn w:val="Normale"/>
    <w:next w:val="Normale"/>
    <w:qFormat/>
    <w:rsid w:val="009D11ED"/>
    <w:pPr>
      <w:keepNext/>
      <w:ind w:left="360"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9D11E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9D11ED"/>
  </w:style>
  <w:style w:type="paragraph" w:styleId="Testofumetto">
    <w:name w:val="Balloon Text"/>
    <w:basedOn w:val="Normale"/>
    <w:semiHidden/>
    <w:rsid w:val="009D11ED"/>
    <w:rPr>
      <w:rFonts w:ascii="Tahoma" w:hAnsi="Tahoma" w:cs="Wingdings"/>
      <w:sz w:val="16"/>
      <w:szCs w:val="16"/>
    </w:rPr>
  </w:style>
  <w:style w:type="paragraph" w:styleId="Rientrocorpodeltesto">
    <w:name w:val="Body Text Indent"/>
    <w:basedOn w:val="Normale"/>
    <w:semiHidden/>
    <w:rsid w:val="009D11ED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9D11ED"/>
    <w:pPr>
      <w:ind w:left="357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9D11ED"/>
    <w:pPr>
      <w:ind w:left="360"/>
      <w:jc w:val="both"/>
    </w:pPr>
    <w:rPr>
      <w:rFonts w:ascii="Arial" w:hAnsi="Arial"/>
      <w:bCs/>
      <w:sz w:val="22"/>
    </w:rPr>
  </w:style>
  <w:style w:type="paragraph" w:styleId="Intestazione">
    <w:name w:val="header"/>
    <w:basedOn w:val="Normale"/>
    <w:semiHidden/>
    <w:rsid w:val="009D11ED"/>
    <w:pPr>
      <w:tabs>
        <w:tab w:val="center" w:pos="4819"/>
        <w:tab w:val="right" w:pos="9638"/>
      </w:tabs>
    </w:pPr>
  </w:style>
  <w:style w:type="paragraph" w:customStyle="1" w:styleId="notaintegrativatabelle">
    <w:name w:val="nota integrativa tabelle"/>
    <w:basedOn w:val="Rientrocorpodeltesto"/>
    <w:rsid w:val="009D11ED"/>
    <w:pPr>
      <w:spacing w:line="360" w:lineRule="auto"/>
      <w:ind w:left="0"/>
    </w:pPr>
    <w:rPr>
      <w:rFonts w:ascii="Arial" w:hAnsi="Arial"/>
      <w:b/>
      <w:kern w:val="32"/>
      <w:sz w:val="18"/>
    </w:rPr>
  </w:style>
  <w:style w:type="paragraph" w:styleId="Paragrafoelenco">
    <w:name w:val="List Paragraph"/>
    <w:basedOn w:val="Normale"/>
    <w:uiPriority w:val="34"/>
    <w:qFormat/>
    <w:rsid w:val="004665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Microsoft_Office_Excel_97-2003_Worksheet4.xls"/><Relationship Id="rId26" Type="http://schemas.openxmlformats.org/officeDocument/2006/relationships/oleObject" Target="embeddings/Microsoft_Office_Excel_97-2003_Worksheet8.xls"/><Relationship Id="rId39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oleObject" Target="embeddings/Microsoft_Office_Excel_97-2003_Worksheet12.xls"/><Relationship Id="rId42" Type="http://schemas.openxmlformats.org/officeDocument/2006/relationships/oleObject" Target="embeddings/Microsoft_Office_Excel_97-2003_Worksheet14.xls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Microsoft_Office_Excel_97-2003_Worksheet1.xls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package" Target="embeddings/Microsoft_Office_Excel_Worksheet2.xlsx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Excel_97-2003_Worksheet3.xls"/><Relationship Id="rId20" Type="http://schemas.openxmlformats.org/officeDocument/2006/relationships/oleObject" Target="embeddings/Microsoft_Office_Excel_97-2003_Worksheet5.xls"/><Relationship Id="rId29" Type="http://schemas.openxmlformats.org/officeDocument/2006/relationships/image" Target="media/image12.emf"/><Relationship Id="rId41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Microsoft_Office_Excel_97-2003_Worksheet7.xls"/><Relationship Id="rId32" Type="http://schemas.openxmlformats.org/officeDocument/2006/relationships/oleObject" Target="embeddings/Microsoft_Office_Excel_97-2003_Worksheet11.xls"/><Relationship Id="rId37" Type="http://schemas.openxmlformats.org/officeDocument/2006/relationships/image" Target="media/image16.emf"/><Relationship Id="rId40" Type="http://schemas.openxmlformats.org/officeDocument/2006/relationships/package" Target="embeddings/Microsoft_Office_Excel_Worksheet3.xlsx"/><Relationship Id="rId45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Microsoft_Office_Excel_97-2003_Worksheet9.xls"/><Relationship Id="rId36" Type="http://schemas.openxmlformats.org/officeDocument/2006/relationships/oleObject" Target="embeddings/Microsoft_Office_Excel_97-2003_Worksheet13.xls"/><Relationship Id="rId49" Type="http://schemas.openxmlformats.org/officeDocument/2006/relationships/theme" Target="theme/theme1.xml"/><Relationship Id="rId10" Type="http://schemas.openxmlformats.org/officeDocument/2006/relationships/package" Target="embeddings/Microsoft_Office_Excel_Worksheet1.xlsx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package" Target="embeddings/Microsoft_Office_Excel_Worksheet4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Office_Excel_97-2003_Worksheet2.xls"/><Relationship Id="rId22" Type="http://schemas.openxmlformats.org/officeDocument/2006/relationships/oleObject" Target="embeddings/Microsoft_Office_Excel_97-2003_Worksheet6.xls"/><Relationship Id="rId27" Type="http://schemas.openxmlformats.org/officeDocument/2006/relationships/image" Target="media/image11.emf"/><Relationship Id="rId30" Type="http://schemas.openxmlformats.org/officeDocument/2006/relationships/oleObject" Target="embeddings/Microsoft_Office_Excel_97-2003_Worksheet10.xls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AB2B-B5EB-4EA5-A025-FD460C8D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13</Pages>
  <Words>2782</Words>
  <Characters>15858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RELAZIONE DEL PRESIDENTE</vt:lpstr>
      <vt:lpstr>RELAZIONE DEL PRESIDENTE</vt:lpstr>
    </vt:vector>
  </TitlesOfParts>
  <Company/>
  <LinksUpToDate>false</LinksUpToDate>
  <CharactersWithSpaces>18603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DEL PRESIDENTE</dc:title>
  <dc:creator>xx</dc:creator>
  <cp:lastModifiedBy>Emanuela</cp:lastModifiedBy>
  <cp:revision>58</cp:revision>
  <cp:lastPrinted>2015-11-06T09:59:00Z</cp:lastPrinted>
  <dcterms:created xsi:type="dcterms:W3CDTF">2015-10-26T07:47:00Z</dcterms:created>
  <dcterms:modified xsi:type="dcterms:W3CDTF">2015-11-06T10:00:00Z</dcterms:modified>
</cp:coreProperties>
</file>