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8DB7" w14:textId="49D5B18E" w:rsidR="00D2779F" w:rsidRDefault="00064541" w:rsidP="00DD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1EE">
        <w:rPr>
          <w:rFonts w:ascii="Times New Roman" w:hAnsi="Times New Roman" w:cs="Times New Roman"/>
          <w:b/>
          <w:sz w:val="28"/>
          <w:szCs w:val="28"/>
        </w:rPr>
        <w:t>DETERMINAZIONE N.</w:t>
      </w:r>
      <w:r w:rsidR="00DD02DE">
        <w:rPr>
          <w:rFonts w:ascii="Times New Roman" w:hAnsi="Times New Roman" w:cs="Times New Roman"/>
          <w:b/>
          <w:sz w:val="28"/>
          <w:szCs w:val="28"/>
        </w:rPr>
        <w:t>24/24 DEL 01/08/2024</w:t>
      </w:r>
    </w:p>
    <w:p w14:paraId="5C3DC22C" w14:textId="77777777" w:rsidR="00DD02DE" w:rsidRPr="001B27D4" w:rsidRDefault="00DD02DE" w:rsidP="00DD02D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5FB4EE" w14:textId="77777777" w:rsidR="00DD02DE" w:rsidRDefault="00F5135C" w:rsidP="00DD02D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E6E">
        <w:rPr>
          <w:rFonts w:ascii="Times New Roman" w:hAnsi="Times New Roman" w:cs="Times New Roman"/>
          <w:b/>
          <w:sz w:val="24"/>
          <w:szCs w:val="24"/>
        </w:rPr>
        <w:t>Oggetto</w:t>
      </w:r>
      <w:proofErr w:type="spellEnd"/>
      <w:r w:rsidRPr="006F0E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DD02DE" w:rsidRPr="00DD02DE">
        <w:rPr>
          <w:rFonts w:ascii="Times New Roman" w:hAnsi="Times New Roman" w:cs="Times New Roman"/>
          <w:sz w:val="24"/>
          <w:szCs w:val="24"/>
        </w:rPr>
        <w:t>Affidamento</w:t>
      </w:r>
      <w:proofErr w:type="spellEnd"/>
      <w:r w:rsidR="00DD02DE" w:rsidRPr="00DD0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DE" w:rsidRPr="00DD02DE">
        <w:rPr>
          <w:rFonts w:ascii="Times New Roman" w:hAnsi="Times New Roman" w:cs="Times New Roman"/>
          <w:sz w:val="24"/>
          <w:szCs w:val="24"/>
        </w:rPr>
        <w:t>diretto</w:t>
      </w:r>
      <w:proofErr w:type="spellEnd"/>
      <w:r w:rsidR="00DD02DE" w:rsidRPr="00DD02DE">
        <w:rPr>
          <w:rFonts w:ascii="Times New Roman" w:hAnsi="Times New Roman" w:cs="Times New Roman"/>
          <w:sz w:val="24"/>
          <w:szCs w:val="24"/>
        </w:rPr>
        <w:t xml:space="preserve"> ex art. 50, comma 1, </w:t>
      </w:r>
      <w:proofErr w:type="spellStart"/>
      <w:r w:rsidR="00DD02DE" w:rsidRPr="00DD02DE">
        <w:rPr>
          <w:rFonts w:ascii="Times New Roman" w:hAnsi="Times New Roman" w:cs="Times New Roman"/>
          <w:sz w:val="24"/>
          <w:szCs w:val="24"/>
        </w:rPr>
        <w:t>lettera</w:t>
      </w:r>
      <w:proofErr w:type="spellEnd"/>
      <w:r w:rsidR="00DD02DE" w:rsidRPr="00DD02DE">
        <w:rPr>
          <w:rFonts w:ascii="Times New Roman" w:hAnsi="Times New Roman" w:cs="Times New Roman"/>
          <w:sz w:val="24"/>
          <w:szCs w:val="24"/>
        </w:rPr>
        <w:t xml:space="preserve"> b), del </w:t>
      </w:r>
      <w:proofErr w:type="spellStart"/>
      <w:r w:rsidR="00DD02DE" w:rsidRPr="00DD02DE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DD02DE" w:rsidRPr="00DD02DE">
        <w:rPr>
          <w:rFonts w:ascii="Times New Roman" w:hAnsi="Times New Roman" w:cs="Times New Roman"/>
          <w:sz w:val="24"/>
          <w:szCs w:val="24"/>
        </w:rPr>
        <w:t xml:space="preserve">. 36/2023 </w:t>
      </w:r>
      <w:proofErr w:type="spellStart"/>
      <w:r w:rsidR="00DD02DE" w:rsidRPr="00DD02DE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="00DD02DE" w:rsidRPr="00DD0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DE" w:rsidRPr="00DD02DE">
        <w:rPr>
          <w:rFonts w:ascii="Times New Roman" w:hAnsi="Times New Roman" w:cs="Times New Roman"/>
          <w:sz w:val="24"/>
          <w:szCs w:val="24"/>
        </w:rPr>
        <w:t>fornitura</w:t>
      </w:r>
      <w:proofErr w:type="spellEnd"/>
      <w:r w:rsidR="00DD02DE" w:rsidRPr="00DD02DE">
        <w:rPr>
          <w:rFonts w:ascii="Times New Roman" w:hAnsi="Times New Roman" w:cs="Times New Roman"/>
          <w:sz w:val="24"/>
          <w:szCs w:val="24"/>
        </w:rPr>
        <w:t xml:space="preserve"> e del </w:t>
      </w:r>
      <w:proofErr w:type="spellStart"/>
      <w:r w:rsidR="00DD02DE" w:rsidRPr="00DD02DE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="00DD02DE" w:rsidRPr="00DD02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D02DE" w:rsidRPr="00DD02DE">
        <w:rPr>
          <w:rFonts w:ascii="Times New Roman" w:hAnsi="Times New Roman" w:cs="Times New Roman"/>
          <w:sz w:val="24"/>
          <w:szCs w:val="24"/>
        </w:rPr>
        <w:t>manutenzione</w:t>
      </w:r>
      <w:proofErr w:type="spellEnd"/>
      <w:r w:rsidR="00DD02DE" w:rsidRPr="00DD02DE">
        <w:rPr>
          <w:rFonts w:ascii="Times New Roman" w:hAnsi="Times New Roman" w:cs="Times New Roman"/>
          <w:sz w:val="24"/>
          <w:szCs w:val="24"/>
        </w:rPr>
        <w:t xml:space="preserve"> DBWIN, SIACNET ed Elea 679 Software Privacy anni 2023 e 2024 - </w:t>
      </w:r>
      <w:proofErr w:type="spellStart"/>
      <w:r w:rsidR="00DD02DE" w:rsidRPr="00DD02DE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="00DD02DE" w:rsidRPr="00DD02DE">
        <w:rPr>
          <w:rFonts w:ascii="Times New Roman" w:hAnsi="Times New Roman" w:cs="Times New Roman"/>
          <w:sz w:val="24"/>
          <w:szCs w:val="24"/>
        </w:rPr>
        <w:t xml:space="preserve"> CIG B2AC96F0D8 e CIG B2AD3CCE27.</w:t>
      </w:r>
    </w:p>
    <w:p w14:paraId="768B30BE" w14:textId="77777777" w:rsidR="00DD02DE" w:rsidRPr="00DD02DE" w:rsidRDefault="00DD02DE" w:rsidP="00DD02D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6"/>
          <w:szCs w:val="6"/>
        </w:rPr>
      </w:pPr>
    </w:p>
    <w:p w14:paraId="7F5625F6" w14:textId="55856425" w:rsidR="00D2779F" w:rsidRPr="006F0E6E" w:rsidRDefault="00064541" w:rsidP="00DD02DE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sz w:val="24"/>
          <w:szCs w:val="24"/>
        </w:rPr>
      </w:pPr>
      <w:r w:rsidRPr="006F0E6E">
        <w:rPr>
          <w:rFonts w:ascii="Times New Roman" w:hAnsi="Times New Roman" w:cs="Times New Roman"/>
          <w:b/>
          <w:sz w:val="24"/>
          <w:szCs w:val="24"/>
        </w:rPr>
        <w:t>IL DIRETTORE</w:t>
      </w:r>
    </w:p>
    <w:p w14:paraId="26FB5C95" w14:textId="77777777" w:rsidR="00D2779F" w:rsidRPr="00064541" w:rsidRDefault="00D2779F" w:rsidP="00F5135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E193E26" w14:textId="503571B8" w:rsidR="00D2779F" w:rsidRPr="006F0E6E" w:rsidRDefault="006F0E6E" w:rsidP="00F5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6E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E6E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proofErr w:type="gramStart"/>
      <w:r w:rsidRPr="006F0E6E">
        <w:rPr>
          <w:rFonts w:ascii="Times New Roman" w:hAnsi="Times New Roman" w:cs="Times New Roman"/>
          <w:sz w:val="24"/>
          <w:szCs w:val="24"/>
        </w:rPr>
        <w:t>D.Lgs</w:t>
      </w:r>
      <w:proofErr w:type="spellEnd"/>
      <w:proofErr w:type="gramEnd"/>
      <w:r w:rsidRPr="006F0E6E">
        <w:rPr>
          <w:rFonts w:ascii="Times New Roman" w:hAnsi="Times New Roman" w:cs="Times New Roman"/>
          <w:sz w:val="24"/>
          <w:szCs w:val="24"/>
        </w:rPr>
        <w:t xml:space="preserve">. 31 marzo 2023, n. 36 (Codice dei contratti pubblici), che ha riorganizzato la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appalti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introducendo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semplificate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contratti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importo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inferiore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alle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soglie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comunitarie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F0E6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particolare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>:</w:t>
      </w:r>
    </w:p>
    <w:p w14:paraId="1DDF9537" w14:textId="77777777" w:rsidR="006F0E6E" w:rsidRDefault="00064541" w:rsidP="00F5135C">
      <w:pPr>
        <w:pStyle w:val="Paragrafoelenco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E6E">
        <w:rPr>
          <w:rFonts w:ascii="Times New Roman" w:hAnsi="Times New Roman" w:cs="Times New Roman"/>
          <w:sz w:val="24"/>
          <w:szCs w:val="24"/>
        </w:rPr>
        <w:t>l’art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. 17, secondo il quale la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stazione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appaltante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dell’avvio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deve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adottare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la “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decisione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contrarre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indicandovi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elementi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essenziali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contratto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>;</w:t>
      </w:r>
    </w:p>
    <w:p w14:paraId="5D431821" w14:textId="127926A8" w:rsidR="00F5135C" w:rsidRPr="00F5135C" w:rsidRDefault="00064541" w:rsidP="00F5135C">
      <w:pPr>
        <w:pStyle w:val="Paragrafoelenco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l’art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. 48, comma 2,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stabilisce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contratto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importo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modesto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lontani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E6E" w:rsidRPr="00F5135C">
        <w:rPr>
          <w:rFonts w:ascii="Times New Roman" w:hAnsi="Times New Roman" w:cs="Times New Roman"/>
          <w:sz w:val="24"/>
          <w:szCs w:val="24"/>
        </w:rPr>
        <w:t>dal</w:t>
      </w:r>
      <w:r w:rsidRPr="00F5135C">
        <w:rPr>
          <w:rFonts w:ascii="Times New Roman" w:hAnsi="Times New Roman" w:cs="Times New Roman"/>
          <w:sz w:val="24"/>
          <w:szCs w:val="24"/>
        </w:rPr>
        <w:t>l</w:t>
      </w:r>
      <w:r w:rsidR="006F0E6E" w:rsidRPr="00F5135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sogli</w:t>
      </w:r>
      <w:r w:rsidR="006F0E6E" w:rsidRPr="00F5135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F0E6E"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E6E" w:rsidRPr="00F5135C">
        <w:rPr>
          <w:rFonts w:ascii="Times New Roman" w:hAnsi="Times New Roman" w:cs="Times New Roman"/>
          <w:sz w:val="24"/>
          <w:szCs w:val="24"/>
        </w:rPr>
        <w:t>comunitaria</w:t>
      </w:r>
      <w:proofErr w:type="spellEnd"/>
      <w:r w:rsidR="006F0E6E" w:rsidRPr="00F5135C">
        <w:rPr>
          <w:rFonts w:ascii="Times New Roman" w:hAnsi="Times New Roman" w:cs="Times New Roman"/>
          <w:sz w:val="24"/>
          <w:szCs w:val="24"/>
        </w:rPr>
        <w:t xml:space="preserve"> </w:t>
      </w:r>
      <w:r w:rsidRPr="00F5135C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sussiste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interesse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transfrontaliero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certo</w:t>
      </w:r>
      <w:proofErr w:type="spellEnd"/>
      <w:r w:rsidR="006F0E6E" w:rsidRPr="00F513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0E6E" w:rsidRPr="00F5135C">
        <w:rPr>
          <w:rFonts w:ascii="Times New Roman" w:hAnsi="Times New Roman" w:cs="Times New Roman"/>
          <w:sz w:val="24"/>
          <w:szCs w:val="24"/>
        </w:rPr>
        <w:t>così</w:t>
      </w:r>
      <w:proofErr w:type="spellEnd"/>
      <w:r w:rsidR="006F0E6E" w:rsidRPr="00F5135C">
        <w:rPr>
          <w:rFonts w:ascii="Times New Roman" w:hAnsi="Times New Roman" w:cs="Times New Roman"/>
          <w:sz w:val="24"/>
          <w:szCs w:val="24"/>
        </w:rPr>
        <w:t xml:space="preserve"> come </w:t>
      </w:r>
      <w:proofErr w:type="spellStart"/>
      <w:r w:rsidR="006F0E6E" w:rsidRPr="00F5135C">
        <w:rPr>
          <w:rFonts w:ascii="Times New Roman" w:hAnsi="Times New Roman" w:cs="Times New Roman"/>
          <w:sz w:val="24"/>
          <w:szCs w:val="24"/>
        </w:rPr>
        <w:t>affermato</w:t>
      </w:r>
      <w:proofErr w:type="spellEnd"/>
      <w:r w:rsidR="006F0E6E"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E6E" w:rsidRPr="00F5135C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="006F0E6E"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E6E" w:rsidRPr="00F5135C">
        <w:rPr>
          <w:rFonts w:ascii="Times New Roman" w:hAnsi="Times New Roman" w:cs="Times New Roman"/>
          <w:sz w:val="24"/>
          <w:szCs w:val="24"/>
        </w:rPr>
        <w:t>Giurisprudenza</w:t>
      </w:r>
      <w:proofErr w:type="spellEnd"/>
      <w:r w:rsidR="006F0E6E"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E6E" w:rsidRPr="00F5135C">
        <w:rPr>
          <w:rFonts w:ascii="Times New Roman" w:hAnsi="Times New Roman" w:cs="Times New Roman"/>
          <w:sz w:val="24"/>
          <w:szCs w:val="24"/>
        </w:rPr>
        <w:t>Ammnistrativa</w:t>
      </w:r>
      <w:proofErr w:type="spellEnd"/>
      <w:r w:rsidR="006F0E6E" w:rsidRPr="00F5135C">
        <w:rPr>
          <w:rFonts w:ascii="Times New Roman" w:hAnsi="Times New Roman" w:cs="Times New Roman"/>
          <w:sz w:val="24"/>
          <w:szCs w:val="24"/>
        </w:rPr>
        <w:t xml:space="preserve"> </w:t>
      </w:r>
      <w:r w:rsidR="006F0E6E" w:rsidRPr="00F5135C">
        <w:rPr>
          <w:rFonts w:eastAsia="Palatino Linotype"/>
          <w:color w:val="000308"/>
        </w:rPr>
        <w:t>(</w:t>
      </w:r>
      <w:hyperlink r:id="rId6" w:history="1">
        <w:r w:rsidR="006F0E6E" w:rsidRPr="00F5135C">
          <w:rPr>
            <w:rStyle w:val="Collegamentoipertestuale"/>
            <w:color w:val="000308"/>
            <w:u w:val="none"/>
            <w:shd w:val="clear" w:color="auto" w:fill="FFFFFF"/>
          </w:rPr>
          <w:t xml:space="preserve">T.A.R. </w:t>
        </w:r>
        <w:proofErr w:type="spellStart"/>
        <w:r w:rsidR="006F0E6E" w:rsidRPr="00F5135C">
          <w:rPr>
            <w:rStyle w:val="Collegamentoipertestuale"/>
            <w:color w:val="000308"/>
            <w:u w:val="none"/>
            <w:shd w:val="clear" w:color="auto" w:fill="FFFFFF"/>
          </w:rPr>
          <w:t>Lombardia</w:t>
        </w:r>
        <w:proofErr w:type="spellEnd"/>
        <w:r w:rsidR="006F0E6E" w:rsidRPr="00F5135C">
          <w:rPr>
            <w:rStyle w:val="Collegamentoipertestuale"/>
            <w:color w:val="000308"/>
            <w:u w:val="none"/>
            <w:shd w:val="clear" w:color="auto" w:fill="FFFFFF"/>
          </w:rPr>
          <w:t xml:space="preserve">, Brescia, II, 04 </w:t>
        </w:r>
        <w:proofErr w:type="spellStart"/>
        <w:r w:rsidR="006F0E6E" w:rsidRPr="00F5135C">
          <w:rPr>
            <w:rStyle w:val="Collegamentoipertestuale"/>
            <w:color w:val="000308"/>
            <w:u w:val="none"/>
            <w:shd w:val="clear" w:color="auto" w:fill="FFFFFF"/>
          </w:rPr>
          <w:t>marzo</w:t>
        </w:r>
        <w:proofErr w:type="spellEnd"/>
        <w:r w:rsidR="006F0E6E" w:rsidRPr="00F5135C">
          <w:rPr>
            <w:rStyle w:val="Collegamentoipertestuale"/>
            <w:color w:val="000308"/>
            <w:u w:val="none"/>
            <w:shd w:val="clear" w:color="auto" w:fill="FFFFFF"/>
          </w:rPr>
          <w:t xml:space="preserve"> 2024, n. 165</w:t>
        </w:r>
      </w:hyperlink>
      <w:r w:rsidR="006F0E6E" w:rsidRPr="00F5135C">
        <w:rPr>
          <w:color w:val="000308"/>
          <w:shd w:val="clear" w:color="auto" w:fill="FFFFFF"/>
        </w:rPr>
        <w:t>)</w:t>
      </w:r>
      <w:r w:rsidRPr="00F5135C">
        <w:rPr>
          <w:rFonts w:ascii="Times New Roman" w:hAnsi="Times New Roman" w:cs="Times New Roman"/>
          <w:sz w:val="24"/>
          <w:szCs w:val="24"/>
        </w:rPr>
        <w:t>;</w:t>
      </w:r>
    </w:p>
    <w:p w14:paraId="4EBB036A" w14:textId="3F92A908" w:rsidR="00D2779F" w:rsidRPr="00F5135C" w:rsidRDefault="00064541" w:rsidP="00F5135C">
      <w:pPr>
        <w:pStyle w:val="Paragrafoelenco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135C">
        <w:rPr>
          <w:rFonts w:ascii="Times New Roman" w:hAnsi="Times New Roman" w:cs="Times New Roman"/>
          <w:sz w:val="24"/>
          <w:szCs w:val="24"/>
        </w:rPr>
        <w:t>l’art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. 50, comma 1, lettera a), che consente l’affidamento diretto per lavori di importo inferiore a un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(per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servizi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forniture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lettera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b) è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pertinente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) senza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l’obbligo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gara</w:t>
      </w:r>
      <w:proofErr w:type="spellEnd"/>
      <w:r w:rsidR="00F5135C" w:rsidRPr="00F5135C">
        <w:rPr>
          <w:rFonts w:ascii="Times New Roman" w:hAnsi="Times New Roman" w:cs="Times New Roman"/>
          <w:sz w:val="24"/>
          <w:szCs w:val="24"/>
        </w:rPr>
        <w:t>;</w:t>
      </w:r>
    </w:p>
    <w:p w14:paraId="202068A7" w14:textId="77777777" w:rsidR="00F5135C" w:rsidRPr="001B27D4" w:rsidRDefault="00F5135C" w:rsidP="00F5135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6"/>
          <w:szCs w:val="6"/>
        </w:rPr>
      </w:pPr>
    </w:p>
    <w:p w14:paraId="777EC7A8" w14:textId="1DED9694" w:rsidR="00D2779F" w:rsidRDefault="006F0E6E" w:rsidP="00F5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5C">
        <w:rPr>
          <w:rFonts w:ascii="Times New Roman" w:hAnsi="Times New Roman" w:cs="Times New Roman"/>
          <w:b/>
          <w:sz w:val="24"/>
          <w:szCs w:val="24"/>
        </w:rPr>
        <w:t>Visto</w:t>
      </w:r>
      <w:r w:rsidRPr="00F5135C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proofErr w:type="gramStart"/>
      <w:r w:rsidRPr="00F5135C">
        <w:rPr>
          <w:rFonts w:ascii="Times New Roman" w:hAnsi="Times New Roman" w:cs="Times New Roman"/>
          <w:sz w:val="24"/>
          <w:szCs w:val="24"/>
        </w:rPr>
        <w:t>D.Lgs</w:t>
      </w:r>
      <w:proofErr w:type="spellEnd"/>
      <w:proofErr w:type="gramEnd"/>
      <w:r w:rsidRPr="00F5135C">
        <w:rPr>
          <w:rFonts w:ascii="Times New Roman" w:hAnsi="Times New Roman" w:cs="Times New Roman"/>
          <w:sz w:val="24"/>
          <w:szCs w:val="24"/>
        </w:rPr>
        <w:t xml:space="preserve">. 165/2001, per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principi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generali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dell’ordinamento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pubbliche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amministrazioni</w:t>
      </w:r>
      <w:proofErr w:type="spellEnd"/>
      <w:r w:rsidR="00F5135C">
        <w:rPr>
          <w:rFonts w:ascii="Times New Roman" w:hAnsi="Times New Roman" w:cs="Times New Roman"/>
          <w:sz w:val="24"/>
          <w:szCs w:val="24"/>
        </w:rPr>
        <w:t>;</w:t>
      </w:r>
    </w:p>
    <w:p w14:paraId="79C62D46" w14:textId="77777777" w:rsidR="00F5135C" w:rsidRPr="00064541" w:rsidRDefault="00F5135C" w:rsidP="00F513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50D9B2F" w14:textId="11FD50EA" w:rsidR="00F5135C" w:rsidRPr="00F5135C" w:rsidRDefault="00F5135C" w:rsidP="00F5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5C">
        <w:rPr>
          <w:rFonts w:ascii="Times New Roman" w:hAnsi="Times New Roman" w:cs="Times New Roman"/>
          <w:b/>
          <w:bCs/>
          <w:sz w:val="24"/>
          <w:szCs w:val="24"/>
        </w:rPr>
        <w:t xml:space="preserve">Visti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Regolamenti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interni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dell’Automobile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Club Padova </w:t>
      </w:r>
      <w:proofErr w:type="spellStart"/>
      <w:r w:rsidRPr="00F5135C">
        <w:rPr>
          <w:rFonts w:ascii="Times New Roman" w:hAnsi="Times New Roman"/>
          <w:sz w:val="24"/>
          <w:szCs w:val="24"/>
        </w:rPr>
        <w:t>avente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struttura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semplice </w:t>
      </w:r>
      <w:r w:rsidRPr="00F5135C">
        <w:rPr>
          <w:rFonts w:ascii="Times New Roman" w:hAnsi="Times New Roman" w:cs="Times New Roman"/>
          <w:sz w:val="24"/>
          <w:szCs w:val="24"/>
        </w:rPr>
        <w:t xml:space="preserve">e in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particolare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>:</w:t>
      </w:r>
    </w:p>
    <w:p w14:paraId="6C7DB5E7" w14:textId="77777777" w:rsidR="00F5135C" w:rsidRPr="00F5135C" w:rsidRDefault="00F5135C" w:rsidP="00F5135C">
      <w:pPr>
        <w:pStyle w:val="Paragrafoelenco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135C">
        <w:rPr>
          <w:rFonts w:ascii="Times New Roman" w:hAnsi="Times New Roman"/>
          <w:sz w:val="24"/>
          <w:szCs w:val="24"/>
        </w:rPr>
        <w:t>l’art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. 2 del </w:t>
      </w:r>
      <w:proofErr w:type="spellStart"/>
      <w:r w:rsidRPr="00F5135C">
        <w:rPr>
          <w:rFonts w:ascii="Times New Roman" w:hAnsi="Times New Roman"/>
          <w:sz w:val="24"/>
          <w:szCs w:val="24"/>
        </w:rPr>
        <w:t>Regolamento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5135C">
        <w:rPr>
          <w:rFonts w:ascii="Times New Roman" w:hAnsi="Times New Roman"/>
          <w:sz w:val="24"/>
          <w:szCs w:val="24"/>
        </w:rPr>
        <w:t>Organizzazione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che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individua </w:t>
      </w:r>
      <w:proofErr w:type="spellStart"/>
      <w:r w:rsidRPr="00F5135C">
        <w:rPr>
          <w:rFonts w:ascii="Times New Roman" w:hAnsi="Times New Roman"/>
          <w:sz w:val="24"/>
          <w:szCs w:val="24"/>
        </w:rPr>
        <w:t>nel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Direttore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Pr="00F5135C">
        <w:rPr>
          <w:rFonts w:ascii="Times New Roman" w:hAnsi="Times New Roman"/>
          <w:sz w:val="24"/>
          <w:szCs w:val="24"/>
        </w:rPr>
        <w:t>responsabile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della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gestione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5135C">
        <w:rPr>
          <w:rFonts w:ascii="Times New Roman" w:hAnsi="Times New Roman"/>
          <w:sz w:val="24"/>
          <w:szCs w:val="24"/>
        </w:rPr>
        <w:t>dei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risultati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derivanti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dall’impiego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delle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risorse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umane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135C">
        <w:rPr>
          <w:rFonts w:ascii="Times New Roman" w:hAnsi="Times New Roman"/>
          <w:sz w:val="24"/>
          <w:szCs w:val="24"/>
        </w:rPr>
        <w:t>finanziarie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5135C">
        <w:rPr>
          <w:rFonts w:ascii="Times New Roman" w:hAnsi="Times New Roman"/>
          <w:sz w:val="24"/>
          <w:szCs w:val="24"/>
        </w:rPr>
        <w:t>strumentali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dell’Ente</w:t>
      </w:r>
      <w:proofErr w:type="spellEnd"/>
      <w:r w:rsidRPr="00F5135C">
        <w:rPr>
          <w:rFonts w:ascii="Times New Roman" w:hAnsi="Times New Roman"/>
          <w:sz w:val="24"/>
          <w:szCs w:val="24"/>
        </w:rPr>
        <w:t>;</w:t>
      </w:r>
    </w:p>
    <w:p w14:paraId="702CAE25" w14:textId="40058F44" w:rsidR="00F5135C" w:rsidRPr="00F5135C" w:rsidRDefault="00F5135C" w:rsidP="00F5135C">
      <w:pPr>
        <w:pStyle w:val="Paragrafoelenco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35C">
        <w:rPr>
          <w:rFonts w:ascii="Times New Roman" w:hAnsi="Times New Roman"/>
          <w:sz w:val="24"/>
          <w:szCs w:val="24"/>
        </w:rPr>
        <w:t xml:space="preserve">il </w:t>
      </w:r>
      <w:proofErr w:type="spellStart"/>
      <w:r w:rsidRPr="00F5135C">
        <w:rPr>
          <w:rFonts w:ascii="Times New Roman" w:hAnsi="Times New Roman"/>
          <w:sz w:val="24"/>
          <w:szCs w:val="24"/>
        </w:rPr>
        <w:t>combinato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disposto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dell’art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. 13 de1 </w:t>
      </w:r>
      <w:proofErr w:type="spellStart"/>
      <w:r w:rsidRPr="00F5135C">
        <w:rPr>
          <w:rFonts w:ascii="Times New Roman" w:hAnsi="Times New Roman"/>
          <w:sz w:val="24"/>
          <w:szCs w:val="24"/>
        </w:rPr>
        <w:t>Regolamento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5135C">
        <w:rPr>
          <w:rFonts w:ascii="Times New Roman" w:hAnsi="Times New Roman"/>
          <w:sz w:val="24"/>
          <w:szCs w:val="24"/>
        </w:rPr>
        <w:t>Amministrazione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5135C">
        <w:rPr>
          <w:rFonts w:ascii="Times New Roman" w:hAnsi="Times New Roman"/>
          <w:sz w:val="24"/>
          <w:szCs w:val="24"/>
        </w:rPr>
        <w:t>Contabilità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e art. 4 del </w:t>
      </w:r>
      <w:proofErr w:type="spellStart"/>
      <w:r w:rsidRPr="00F5135C">
        <w:rPr>
          <w:rFonts w:ascii="Times New Roman" w:hAnsi="Times New Roman"/>
          <w:sz w:val="24"/>
          <w:szCs w:val="24"/>
        </w:rPr>
        <w:t>Regolamento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5135C">
        <w:rPr>
          <w:rFonts w:ascii="Times New Roman" w:hAnsi="Times New Roman"/>
          <w:sz w:val="24"/>
          <w:szCs w:val="24"/>
        </w:rPr>
        <w:t>Organizzazione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135C">
        <w:rPr>
          <w:rFonts w:ascii="Times New Roman" w:hAnsi="Times New Roman"/>
          <w:sz w:val="24"/>
          <w:szCs w:val="24"/>
        </w:rPr>
        <w:t>che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stabiliscono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che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Pr="00F5135C">
        <w:rPr>
          <w:rFonts w:ascii="Times New Roman" w:hAnsi="Times New Roman"/>
          <w:sz w:val="24"/>
          <w:szCs w:val="24"/>
        </w:rPr>
        <w:t>Direttore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135C">
        <w:rPr>
          <w:rFonts w:ascii="Times New Roman" w:hAnsi="Times New Roman"/>
          <w:sz w:val="24"/>
          <w:szCs w:val="24"/>
        </w:rPr>
        <w:t>sulla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base del budget </w:t>
      </w:r>
      <w:proofErr w:type="spellStart"/>
      <w:r w:rsidRPr="00F5135C">
        <w:rPr>
          <w:rFonts w:ascii="Times New Roman" w:hAnsi="Times New Roman"/>
          <w:sz w:val="24"/>
          <w:szCs w:val="24"/>
        </w:rPr>
        <w:t>annuale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e del piano generale </w:t>
      </w:r>
      <w:proofErr w:type="spellStart"/>
      <w:r w:rsidRPr="00F5135C">
        <w:rPr>
          <w:rFonts w:ascii="Times New Roman" w:hAnsi="Times New Roman"/>
          <w:sz w:val="24"/>
          <w:szCs w:val="24"/>
        </w:rPr>
        <w:t>delle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attività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deliberati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dai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competenti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organi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135C">
        <w:rPr>
          <w:rFonts w:ascii="Times New Roman" w:hAnsi="Times New Roman"/>
          <w:sz w:val="24"/>
          <w:szCs w:val="24"/>
        </w:rPr>
        <w:t>definisce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, prima </w:t>
      </w:r>
      <w:proofErr w:type="spellStart"/>
      <w:r w:rsidRPr="00F5135C">
        <w:rPr>
          <w:rFonts w:ascii="Times New Roman" w:hAnsi="Times New Roman"/>
          <w:sz w:val="24"/>
          <w:szCs w:val="24"/>
        </w:rPr>
        <w:t>dell’inizio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35C">
        <w:rPr>
          <w:rFonts w:ascii="Times New Roman" w:hAnsi="Times New Roman"/>
          <w:sz w:val="24"/>
          <w:szCs w:val="24"/>
        </w:rPr>
        <w:t>dell’esercizio</w:t>
      </w:r>
      <w:proofErr w:type="spellEnd"/>
      <w:r w:rsidRPr="00F5135C">
        <w:rPr>
          <w:rFonts w:ascii="Times New Roman" w:hAnsi="Times New Roman"/>
          <w:sz w:val="24"/>
          <w:szCs w:val="24"/>
        </w:rPr>
        <w:t xml:space="preserve">, il budget di </w:t>
      </w:r>
      <w:proofErr w:type="spellStart"/>
      <w:r w:rsidRPr="00F5135C">
        <w:rPr>
          <w:rFonts w:ascii="Times New Roman" w:hAnsi="Times New Roman"/>
          <w:sz w:val="24"/>
          <w:szCs w:val="24"/>
        </w:rPr>
        <w:t>gestione</w:t>
      </w:r>
      <w:proofErr w:type="spellEnd"/>
      <w:r w:rsidRPr="00F5135C">
        <w:rPr>
          <w:rFonts w:ascii="Times New Roman" w:hAnsi="Times New Roman"/>
          <w:sz w:val="24"/>
          <w:szCs w:val="24"/>
        </w:rPr>
        <w:t>;</w:t>
      </w:r>
    </w:p>
    <w:p w14:paraId="33C2CD34" w14:textId="77777777" w:rsidR="00F5135C" w:rsidRPr="001B27D4" w:rsidRDefault="00F5135C" w:rsidP="00F5135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0025844B" w14:textId="7AE2FB43" w:rsidR="00DB3757" w:rsidRPr="001B27D4" w:rsidRDefault="00DB3757" w:rsidP="00F5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757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DB3757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bilancio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d’esercizio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2023,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approvato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chiuso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al 31/12/2023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77492F" w14:textId="77777777" w:rsidR="001B27D4" w:rsidRPr="001B27D4" w:rsidRDefault="001B27D4" w:rsidP="00F5135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B4CF705" w14:textId="7D42A247" w:rsidR="00F5135C" w:rsidRPr="00F5135C" w:rsidRDefault="00F5135C" w:rsidP="00F5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62F">
        <w:rPr>
          <w:rFonts w:ascii="Times New Roman" w:hAnsi="Times New Roman" w:cs="Times New Roman"/>
          <w:b/>
          <w:bCs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35C">
        <w:rPr>
          <w:rFonts w:ascii="Times New Roman" w:hAnsi="Times New Roman" w:cs="Times New Roman"/>
          <w:sz w:val="24"/>
          <w:szCs w:val="24"/>
        </w:rPr>
        <w:t xml:space="preserve">il Budget </w:t>
      </w:r>
      <w:proofErr w:type="spellStart"/>
      <w:r>
        <w:rPr>
          <w:rFonts w:ascii="Times New Roman" w:hAnsi="Times New Roman" w:cs="Times New Roman"/>
          <w:sz w:val="24"/>
          <w:szCs w:val="24"/>
        </w:rPr>
        <w:t>annual</w:t>
      </w:r>
      <w:r w:rsidR="00C42868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35C">
        <w:rPr>
          <w:rFonts w:ascii="Times New Roman" w:hAnsi="Times New Roman" w:cs="Times New Roman"/>
          <w:sz w:val="24"/>
          <w:szCs w:val="24"/>
        </w:rPr>
        <w:t>202</w:t>
      </w:r>
      <w:r w:rsidR="00064541">
        <w:rPr>
          <w:rFonts w:ascii="Times New Roman" w:hAnsi="Times New Roman" w:cs="Times New Roman"/>
          <w:sz w:val="24"/>
          <w:szCs w:val="24"/>
        </w:rPr>
        <w:t>4</w:t>
      </w:r>
      <w:r w:rsidRPr="00F5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6262F">
        <w:rPr>
          <w:rFonts w:ascii="Times New Roman" w:hAnsi="Times New Roman" w:cs="Times New Roman"/>
          <w:sz w:val="24"/>
          <w:szCs w:val="24"/>
        </w:rPr>
        <w:t>pprovato</w:t>
      </w:r>
      <w:proofErr w:type="spellEnd"/>
      <w:r w:rsidR="0066262F">
        <w:rPr>
          <w:rFonts w:ascii="Times New Roman" w:hAnsi="Times New Roman" w:cs="Times New Roman"/>
          <w:sz w:val="24"/>
          <w:szCs w:val="24"/>
        </w:rPr>
        <w:t xml:space="preserve"> </w:t>
      </w:r>
      <w:r w:rsidRPr="00F5135C"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delibera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del Consiglio </w:t>
      </w:r>
      <w:proofErr w:type="spellStart"/>
      <w:r w:rsidRPr="00F5135C">
        <w:rPr>
          <w:rFonts w:ascii="Times New Roman" w:hAnsi="Times New Roman" w:cs="Times New Roman"/>
          <w:sz w:val="24"/>
          <w:szCs w:val="24"/>
        </w:rPr>
        <w:t>Direttivo</w:t>
      </w:r>
      <w:proofErr w:type="spellEnd"/>
      <w:r w:rsidRPr="00F5135C">
        <w:rPr>
          <w:rFonts w:ascii="Times New Roman" w:hAnsi="Times New Roman" w:cs="Times New Roman"/>
          <w:sz w:val="24"/>
          <w:szCs w:val="24"/>
        </w:rPr>
        <w:t xml:space="preserve"> del </w:t>
      </w:r>
      <w:r w:rsidR="00064541">
        <w:rPr>
          <w:rFonts w:ascii="Times New Roman" w:hAnsi="Times New Roman" w:cs="Times New Roman"/>
          <w:sz w:val="24"/>
          <w:szCs w:val="24"/>
        </w:rPr>
        <w:t>30</w:t>
      </w:r>
      <w:r w:rsidRPr="00F5135C">
        <w:rPr>
          <w:rFonts w:ascii="Times New Roman" w:hAnsi="Times New Roman" w:cs="Times New Roman"/>
          <w:sz w:val="24"/>
          <w:szCs w:val="24"/>
        </w:rPr>
        <w:t>/1</w:t>
      </w:r>
      <w:r w:rsidR="00064541">
        <w:rPr>
          <w:rFonts w:ascii="Times New Roman" w:hAnsi="Times New Roman" w:cs="Times New Roman"/>
          <w:sz w:val="24"/>
          <w:szCs w:val="24"/>
        </w:rPr>
        <w:t>0</w:t>
      </w:r>
      <w:r w:rsidRPr="00F5135C">
        <w:rPr>
          <w:rFonts w:ascii="Times New Roman" w:hAnsi="Times New Roman" w:cs="Times New Roman"/>
          <w:sz w:val="24"/>
          <w:szCs w:val="24"/>
        </w:rPr>
        <w:t>/202</w:t>
      </w:r>
      <w:r w:rsidR="00064541">
        <w:rPr>
          <w:rFonts w:ascii="Times New Roman" w:hAnsi="Times New Roman" w:cs="Times New Roman"/>
          <w:sz w:val="24"/>
          <w:szCs w:val="24"/>
        </w:rPr>
        <w:t>3</w:t>
      </w:r>
      <w:r w:rsidRPr="00F5135C">
        <w:rPr>
          <w:rFonts w:ascii="Times New Roman" w:hAnsi="Times New Roman" w:cs="Times New Roman"/>
          <w:sz w:val="24"/>
          <w:szCs w:val="24"/>
        </w:rPr>
        <w:t>;</w:t>
      </w:r>
    </w:p>
    <w:p w14:paraId="0EE512C4" w14:textId="77777777" w:rsidR="00F5135C" w:rsidRPr="001B27D4" w:rsidRDefault="00F5135C" w:rsidP="00F5135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55BE632D" w14:textId="4AF6875D" w:rsidR="00D2779F" w:rsidRDefault="006F0E6E" w:rsidP="00F5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6E">
        <w:rPr>
          <w:rFonts w:ascii="Times New Roman" w:hAnsi="Times New Roman" w:cs="Times New Roman"/>
          <w:b/>
          <w:sz w:val="24"/>
          <w:szCs w:val="24"/>
        </w:rPr>
        <w:t>Visto</w:t>
      </w:r>
      <w:r w:rsidRPr="006F0E6E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proofErr w:type="gramStart"/>
      <w:r w:rsidRPr="006F0E6E">
        <w:rPr>
          <w:rFonts w:ascii="Times New Roman" w:hAnsi="Times New Roman" w:cs="Times New Roman"/>
          <w:sz w:val="24"/>
          <w:szCs w:val="24"/>
        </w:rPr>
        <w:t>D.Lgs</w:t>
      </w:r>
      <w:proofErr w:type="spellEnd"/>
      <w:proofErr w:type="gramEnd"/>
      <w:r w:rsidRPr="006F0E6E">
        <w:rPr>
          <w:rFonts w:ascii="Times New Roman" w:hAnsi="Times New Roman" w:cs="Times New Roman"/>
          <w:sz w:val="24"/>
          <w:szCs w:val="24"/>
        </w:rPr>
        <w:t xml:space="preserve">. 14 marzo 2013, n. 33,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recante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obblighi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trasparenza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pubblicità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diffusione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atti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PA;</w:t>
      </w:r>
    </w:p>
    <w:p w14:paraId="3DB8F89C" w14:textId="77777777" w:rsidR="0066262F" w:rsidRPr="00064541" w:rsidRDefault="0066262F" w:rsidP="00F513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B045589" w14:textId="77777777" w:rsidR="0066262F" w:rsidRDefault="006F0E6E" w:rsidP="0066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6E">
        <w:rPr>
          <w:rFonts w:ascii="Times New Roman" w:hAnsi="Times New Roman" w:cs="Times New Roman"/>
          <w:b/>
          <w:sz w:val="24"/>
          <w:szCs w:val="24"/>
        </w:rPr>
        <w:t>Vist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F0E6E">
        <w:rPr>
          <w:rFonts w:ascii="Times New Roman" w:hAnsi="Times New Roman" w:cs="Times New Roman"/>
          <w:sz w:val="24"/>
          <w:szCs w:val="24"/>
        </w:rPr>
        <w:t xml:space="preserve"> la L. 27 dicembre 2006, n. 296, art. 1, comma 450, che consente, per importi inferiori a € 5.000, di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procedere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senza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ricorso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centrali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committenza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o a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piattaforme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E6E">
        <w:rPr>
          <w:rFonts w:ascii="Times New Roman" w:hAnsi="Times New Roman" w:cs="Times New Roman"/>
          <w:sz w:val="24"/>
          <w:szCs w:val="24"/>
        </w:rPr>
        <w:t>obbligatorie</w:t>
      </w:r>
      <w:proofErr w:type="spellEnd"/>
      <w:r w:rsidRPr="006F0E6E">
        <w:rPr>
          <w:rFonts w:ascii="Times New Roman" w:hAnsi="Times New Roman" w:cs="Times New Roman"/>
          <w:sz w:val="24"/>
          <w:szCs w:val="24"/>
        </w:rPr>
        <w:t>;</w:t>
      </w:r>
    </w:p>
    <w:p w14:paraId="3BEC8DB6" w14:textId="77777777" w:rsidR="0066262F" w:rsidRPr="001B27D4" w:rsidRDefault="0066262F" w:rsidP="0066262F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CA4C473" w14:textId="547A454C" w:rsidR="00D2779F" w:rsidRPr="006F0E6E" w:rsidRDefault="0066262F" w:rsidP="0066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62F">
        <w:rPr>
          <w:rFonts w:ascii="Times New Roman" w:hAnsi="Times New Roman" w:cs="Times New Roman"/>
          <w:b/>
          <w:bCs/>
          <w:sz w:val="24"/>
          <w:szCs w:val="24"/>
        </w:rPr>
        <w:t xml:space="preserve">Vista </w:t>
      </w:r>
      <w:r w:rsidRPr="006F0E6E">
        <w:rPr>
          <w:rFonts w:ascii="Times New Roman" w:hAnsi="Times New Roman" w:cs="Times New Roman"/>
          <w:sz w:val="24"/>
          <w:szCs w:val="24"/>
        </w:rPr>
        <w:t>la L. 13 agosto 2010, n. 136, in materia di tracciabilità dei flussi finanziari;</w:t>
      </w:r>
    </w:p>
    <w:p w14:paraId="759F3F3E" w14:textId="77777777" w:rsidR="00D2779F" w:rsidRPr="001B27D4" w:rsidRDefault="00D2779F" w:rsidP="00F5135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29E92DD" w14:textId="77777777" w:rsidR="00615225" w:rsidRDefault="0066262F" w:rsidP="00615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E6E">
        <w:rPr>
          <w:rFonts w:ascii="Times New Roman" w:hAnsi="Times New Roman" w:cs="Times New Roman"/>
          <w:b/>
          <w:sz w:val="24"/>
          <w:szCs w:val="24"/>
        </w:rPr>
        <w:t>Premesso</w:t>
      </w:r>
      <w:proofErr w:type="spellEnd"/>
    </w:p>
    <w:p w14:paraId="707B3E4E" w14:textId="77777777" w:rsidR="00DB3757" w:rsidRDefault="00DB3757" w:rsidP="00615225">
      <w:pPr>
        <w:pStyle w:val="Paragrafoelenco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757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relativo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all’anno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2023,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pur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essendo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competenza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2023, non è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stato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oggetto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impegno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né di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liquidazione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corso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dello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stesso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esercizio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preventivo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originario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includeva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prestazioni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necessarie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, </w:t>
      </w:r>
      <w:r w:rsidRPr="00DB3757">
        <w:rPr>
          <w:rFonts w:ascii="Times New Roman" w:hAnsi="Times New Roman" w:cs="Times New Roman"/>
          <w:sz w:val="24"/>
          <w:szCs w:val="24"/>
        </w:rPr>
        <w:t xml:space="preserve">per il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trasferimento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gestione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suddette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prestazioni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GSAWEB di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contabilità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ACI</w:t>
      </w:r>
      <w:r w:rsidRPr="00DB3757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successivamente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escluse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seguito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contestazioni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, con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riformulazione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delpreventivo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>;</w:t>
      </w:r>
    </w:p>
    <w:p w14:paraId="7F3C2611" w14:textId="77777777" w:rsidR="00DB3757" w:rsidRDefault="00615225" w:rsidP="00DB3757">
      <w:pPr>
        <w:pStyle w:val="Paragrafoelenco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225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rende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garantire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continuità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l’aggiornamento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manutenzione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software DBWIN, SIACNET ed Elea 679 Software Privacy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perl’anno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strumenti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fondamentali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per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pregressi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amministrativa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privacy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dell’Ente</w:t>
      </w:r>
      <w:r w:rsidR="00DD02DE" w:rsidRPr="00615225">
        <w:rPr>
          <w:rFonts w:ascii="Times New Roman" w:hAnsi="Times New Roman" w:cs="Times New Roman"/>
          <w:sz w:val="24"/>
          <w:szCs w:val="24"/>
        </w:rPr>
        <w:t>;</w:t>
      </w:r>
      <w:proofErr w:type="spellEnd"/>
    </w:p>
    <w:p w14:paraId="43E8A164" w14:textId="24201E6E" w:rsidR="0066262F" w:rsidRPr="00DB3757" w:rsidRDefault="00064541" w:rsidP="00DB3757">
      <w:pPr>
        <w:pStyle w:val="Paragrafoelenco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37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costo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stimato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risulta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modesto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rientra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limiti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previsti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per l’affidamento diretto ai sensi dell’art. 50, c. 1, del </w:t>
      </w:r>
      <w:proofErr w:type="gramStart"/>
      <w:r w:rsidRPr="00DB3757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DB3757">
        <w:rPr>
          <w:rFonts w:ascii="Times New Roman" w:hAnsi="Times New Roman" w:cs="Times New Roman"/>
          <w:sz w:val="24"/>
          <w:szCs w:val="24"/>
        </w:rPr>
        <w:t xml:space="preserve">. 36/2023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. a) o b), a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seconda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tipologia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e secondo le soglie indicate all’art. 14 del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medesimo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757">
        <w:rPr>
          <w:rFonts w:ascii="Times New Roman" w:hAnsi="Times New Roman" w:cs="Times New Roman"/>
          <w:sz w:val="24"/>
          <w:szCs w:val="24"/>
        </w:rPr>
        <w:t>decreto</w:t>
      </w:r>
      <w:proofErr w:type="spellEnd"/>
      <w:r w:rsidRPr="00DB3757">
        <w:rPr>
          <w:rFonts w:ascii="Times New Roman" w:hAnsi="Times New Roman" w:cs="Times New Roman"/>
          <w:sz w:val="24"/>
          <w:szCs w:val="24"/>
        </w:rPr>
        <w:t>;</w:t>
      </w:r>
    </w:p>
    <w:p w14:paraId="3F5DCD56" w14:textId="77777777" w:rsidR="0066262F" w:rsidRDefault="00064541" w:rsidP="0066262F">
      <w:pPr>
        <w:pStyle w:val="Paragrafoelenco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ricorso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all’affidamento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diretto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senza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gara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è conforme alla disciplina del Codice dei contratti per le prestazioni sotto soglia, fermo restando il rispetto dei principi generali (art. 1, c. 3, </w:t>
      </w:r>
      <w:proofErr w:type="gramStart"/>
      <w:r w:rsidRPr="0066262F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66262F">
        <w:rPr>
          <w:rFonts w:ascii="Times New Roman" w:hAnsi="Times New Roman" w:cs="Times New Roman"/>
          <w:sz w:val="24"/>
          <w:szCs w:val="24"/>
        </w:rPr>
        <w:t xml:space="preserve">. 36/2023: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trasparenza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efficacia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economicità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proporzionalità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discriminazione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>);</w:t>
      </w:r>
    </w:p>
    <w:p w14:paraId="49C87902" w14:textId="578C6078" w:rsidR="00D2779F" w:rsidRPr="0066262F" w:rsidRDefault="00064541" w:rsidP="0066262F">
      <w:pPr>
        <w:pStyle w:val="Paragrafoelenco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62F">
        <w:rPr>
          <w:rFonts w:ascii="Times New Roman" w:hAnsi="Times New Roman" w:cs="Times New Roman"/>
          <w:sz w:val="24"/>
          <w:szCs w:val="24"/>
        </w:rPr>
        <w:lastRenderedPageBreak/>
        <w:t>che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dell’affidamento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diretto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facoltà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dell’amministrazione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richiedere preventivi o consultazioni informali ma ciò non equivale a un obbligo di gara, secondo la giurisprudenza e dottrina (l’indagine di mercato rimane strumentale).</w:t>
      </w:r>
    </w:p>
    <w:p w14:paraId="4330EDCA" w14:textId="77777777" w:rsidR="00C42868" w:rsidRPr="001B27D4" w:rsidRDefault="00C42868" w:rsidP="00F5135C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4161FF22" w14:textId="77777777" w:rsidR="00615225" w:rsidRDefault="0066262F" w:rsidP="00615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E6E">
        <w:rPr>
          <w:rFonts w:ascii="Times New Roman" w:hAnsi="Times New Roman" w:cs="Times New Roman"/>
          <w:b/>
          <w:sz w:val="24"/>
          <w:szCs w:val="24"/>
        </w:rPr>
        <w:t>Considerato</w:t>
      </w:r>
      <w:proofErr w:type="spellEnd"/>
    </w:p>
    <w:p w14:paraId="514FBABC" w14:textId="501B5CFA" w:rsidR="00F041EE" w:rsidRPr="00615225" w:rsidRDefault="00615225" w:rsidP="00615225">
      <w:pPr>
        <w:pStyle w:val="Paragrafoelenco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5225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ditta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FORMULA S.p.A., con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in Via Bisceglie n.76, 20152 Milano (MI) – P.IVA/C.F. 12427540963, è in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generali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tecnico-professionali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eseguire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fornitura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e il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richiesto</w:t>
      </w:r>
      <w:proofErr w:type="spellEnd"/>
      <w:r w:rsidR="00064541" w:rsidRPr="00615225">
        <w:rPr>
          <w:rFonts w:ascii="Times New Roman" w:hAnsi="Times New Roman" w:cs="Times New Roman"/>
          <w:sz w:val="24"/>
          <w:szCs w:val="24"/>
        </w:rPr>
        <w:t>;</w:t>
      </w:r>
      <w:r w:rsidR="0066262F" w:rsidRPr="00615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3F1D7" w14:textId="77777777" w:rsidR="00615225" w:rsidRPr="00615225" w:rsidRDefault="00064541" w:rsidP="00615225">
      <w:pPr>
        <w:pStyle w:val="Paragrafoelenco"/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225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ditta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presentato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15225">
        <w:rPr>
          <w:rFonts w:ascii="Times New Roman" w:hAnsi="Times New Roman" w:cs="Times New Roman"/>
          <w:sz w:val="24"/>
          <w:szCs w:val="24"/>
        </w:rPr>
        <w:t>preventivo</w:t>
      </w:r>
      <w:proofErr w:type="spellEnd"/>
      <w:r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225" w:rsidRPr="00615225">
        <w:rPr>
          <w:rFonts w:ascii="Times New Roman" w:hAnsi="Times New Roman" w:cs="Times New Roman"/>
          <w:sz w:val="24"/>
          <w:szCs w:val="24"/>
        </w:rPr>
        <w:t>così</w:t>
      </w:r>
      <w:proofErr w:type="spellEnd"/>
      <w:r w:rsidR="00615225" w:rsidRPr="0061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225" w:rsidRPr="00615225">
        <w:rPr>
          <w:rFonts w:ascii="Times New Roman" w:hAnsi="Times New Roman" w:cs="Times New Roman"/>
          <w:sz w:val="24"/>
          <w:szCs w:val="24"/>
        </w:rPr>
        <w:t>suddiviso:</w:t>
      </w:r>
      <w:proofErr w:type="spellEnd"/>
    </w:p>
    <w:p w14:paraId="756B546A" w14:textId="696ECD94" w:rsidR="00615225" w:rsidRPr="00615225" w:rsidRDefault="00615225" w:rsidP="00615225">
      <w:pPr>
        <w:pStyle w:val="Paragrafoelenco"/>
        <w:numPr>
          <w:ilvl w:val="0"/>
          <w:numId w:val="22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225">
        <w:rPr>
          <w:rFonts w:ascii="Times New Roman" w:hAnsi="Times New Roman" w:cs="Times New Roman"/>
          <w:sz w:val="24"/>
          <w:szCs w:val="24"/>
        </w:rPr>
        <w:t xml:space="preserve">anno 2023: € 2.805,18 </w:t>
      </w:r>
      <w:proofErr w:type="spellStart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oltre</w:t>
      </w:r>
      <w:proofErr w:type="spellEnd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iva</w:t>
      </w:r>
      <w:proofErr w:type="spellEnd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€ 617,14 e </w:t>
      </w:r>
      <w:proofErr w:type="spellStart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così</w:t>
      </w:r>
      <w:proofErr w:type="spellEnd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per un </w:t>
      </w:r>
      <w:proofErr w:type="spellStart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totale</w:t>
      </w:r>
      <w:proofErr w:type="spellEnd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di € 3.422,32</w:t>
      </w:r>
    </w:p>
    <w:p w14:paraId="1C6DCEE7" w14:textId="6F33737C" w:rsidR="00615225" w:rsidRPr="00615225" w:rsidRDefault="00615225" w:rsidP="00615225">
      <w:pPr>
        <w:pStyle w:val="Paragrafoelenco"/>
        <w:numPr>
          <w:ilvl w:val="0"/>
          <w:numId w:val="22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225">
        <w:rPr>
          <w:rFonts w:ascii="Times New Roman" w:hAnsi="Times New Roman" w:cs="Times New Roman"/>
          <w:sz w:val="24"/>
          <w:szCs w:val="24"/>
        </w:rPr>
        <w:t>anno 202</w:t>
      </w:r>
      <w:r w:rsidR="001B27D4">
        <w:rPr>
          <w:rFonts w:ascii="Times New Roman" w:hAnsi="Times New Roman" w:cs="Times New Roman"/>
          <w:sz w:val="24"/>
          <w:szCs w:val="24"/>
        </w:rPr>
        <w:t>4</w:t>
      </w:r>
      <w:r w:rsidRPr="00615225">
        <w:rPr>
          <w:rFonts w:ascii="Times New Roman" w:hAnsi="Times New Roman" w:cs="Times New Roman"/>
          <w:sz w:val="24"/>
          <w:szCs w:val="24"/>
        </w:rPr>
        <w:t xml:space="preserve">: € 2.824,82 </w:t>
      </w:r>
      <w:proofErr w:type="spellStart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oltre</w:t>
      </w:r>
      <w:proofErr w:type="spellEnd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iva</w:t>
      </w:r>
      <w:proofErr w:type="spellEnd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€ 621,46 e </w:t>
      </w:r>
      <w:proofErr w:type="spellStart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così</w:t>
      </w:r>
      <w:proofErr w:type="spellEnd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per un </w:t>
      </w:r>
      <w:proofErr w:type="spellStart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totale</w:t>
      </w:r>
      <w:proofErr w:type="spellEnd"/>
      <w:r w:rsidRPr="00615225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di € 3.446,28</w:t>
      </w:r>
    </w:p>
    <w:p w14:paraId="42524BD9" w14:textId="77777777" w:rsidR="0066262F" w:rsidRDefault="00064541" w:rsidP="001B27D4">
      <w:pPr>
        <w:pStyle w:val="Paragrafoelenco"/>
        <w:numPr>
          <w:ilvl w:val="0"/>
          <w:numId w:val="22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l’offerta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congrua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coerente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prezzi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mercato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prestazioni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analoghe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adeguata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alle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necessità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operative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dell’Ente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>;</w:t>
      </w:r>
    </w:p>
    <w:p w14:paraId="39FBD68D" w14:textId="4DDB3E50" w:rsidR="00D2779F" w:rsidRPr="0066262F" w:rsidRDefault="001B27D4" w:rsidP="001B27D4">
      <w:pPr>
        <w:pStyle w:val="Paragrafoelenco"/>
        <w:numPr>
          <w:ilvl w:val="0"/>
          <w:numId w:val="22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1B27D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spesa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imputabile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capitolo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CP.01.09.0017</w:t>
      </w:r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7D4">
        <w:rPr>
          <w:rFonts w:ascii="Times New Roman" w:hAnsi="Times New Roman" w:cs="Times New Roman"/>
          <w:sz w:val="24"/>
          <w:szCs w:val="24"/>
        </w:rPr>
        <w:t xml:space="preserve">del budget 2024,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ferma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restando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competenza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riferita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all’anno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2023 per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riguarda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precedentemente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impegnata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liquidata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>;</w:t>
      </w:r>
    </w:p>
    <w:p w14:paraId="0D62A19D" w14:textId="77777777" w:rsidR="00D2779F" w:rsidRPr="001B27D4" w:rsidRDefault="00D2779F" w:rsidP="00F5135C">
      <w:pPr>
        <w:spacing w:after="0" w:line="240" w:lineRule="auto"/>
        <w:ind w:hanging="426"/>
        <w:rPr>
          <w:rFonts w:ascii="Times New Roman" w:hAnsi="Times New Roman" w:cs="Times New Roman"/>
          <w:sz w:val="6"/>
          <w:szCs w:val="6"/>
        </w:rPr>
      </w:pPr>
    </w:p>
    <w:p w14:paraId="1BDEB4F7" w14:textId="326F7558" w:rsidR="00D2779F" w:rsidRPr="006F0E6E" w:rsidRDefault="0066262F" w:rsidP="00F51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6E">
        <w:rPr>
          <w:rFonts w:ascii="Times New Roman" w:hAnsi="Times New Roman" w:cs="Times New Roman"/>
          <w:b/>
          <w:sz w:val="24"/>
          <w:szCs w:val="24"/>
        </w:rPr>
        <w:t>Rilevato</w:t>
      </w:r>
    </w:p>
    <w:p w14:paraId="057BC2F2" w14:textId="77777777" w:rsidR="0066262F" w:rsidRDefault="00064541" w:rsidP="00F5135C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262F">
        <w:rPr>
          <w:rFonts w:ascii="Times New Roman" w:hAnsi="Times New Roman" w:cs="Times New Roman"/>
          <w:sz w:val="24"/>
          <w:szCs w:val="24"/>
        </w:rPr>
        <w:t xml:space="preserve">che l’adozione della presente determina costituisce il prescritto atto di decisione a contrarre (ex art. 17, </w:t>
      </w:r>
      <w:proofErr w:type="gramStart"/>
      <w:r w:rsidRPr="0066262F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66262F">
        <w:rPr>
          <w:rFonts w:ascii="Times New Roman" w:hAnsi="Times New Roman" w:cs="Times New Roman"/>
          <w:sz w:val="24"/>
          <w:szCs w:val="24"/>
        </w:rPr>
        <w:t>. 36/2023);</w:t>
      </w:r>
    </w:p>
    <w:p w14:paraId="04D9DADC" w14:textId="77777777" w:rsidR="0066262F" w:rsidRDefault="00064541" w:rsidP="00F5135C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l’affidamento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diretto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consentito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ai sensi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dell’art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. 50, comma 1, lett. a) (per lavori) o lett. b) (per servizi/forniture) del </w:t>
      </w:r>
      <w:proofErr w:type="gramStart"/>
      <w:r w:rsidRPr="0066262F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66262F">
        <w:rPr>
          <w:rFonts w:ascii="Times New Roman" w:hAnsi="Times New Roman" w:cs="Times New Roman"/>
          <w:sz w:val="24"/>
          <w:szCs w:val="24"/>
        </w:rPr>
        <w:t xml:space="preserve">. 36/2023, senza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obbligo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gara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purché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l’importo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inferiore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soglia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stabilita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osservino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minimi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richiesti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>;</w:t>
      </w:r>
    </w:p>
    <w:p w14:paraId="5D766C3A" w14:textId="77777777" w:rsidR="0066262F" w:rsidRDefault="00064541" w:rsidP="00F5135C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in ogni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è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fatto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obbligo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all’Amministrazione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di rispettare i principi generali del Codice (art. 1, c. 3), tra cui trasparenza, rotazione degli affidamenti (art. 49),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proporzionalità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discriminazione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correttezza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amministrativa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>;</w:t>
      </w:r>
    </w:p>
    <w:p w14:paraId="15813B41" w14:textId="36510696" w:rsidR="00D2779F" w:rsidRPr="0066262F" w:rsidRDefault="00064541" w:rsidP="00F5135C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particolare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affidamenti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diretti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importo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inferiore a € 5.000, è ammessa deroga al principio di rotazione (art. 50, c. 1, lett. a)/b).</w:t>
      </w:r>
    </w:p>
    <w:p w14:paraId="19CAEA35" w14:textId="77777777" w:rsidR="00D2779F" w:rsidRPr="001B27D4" w:rsidRDefault="00D2779F" w:rsidP="00F5135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1887B292" w14:textId="77777777" w:rsidR="00D2779F" w:rsidRDefault="00064541" w:rsidP="00662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E6E">
        <w:rPr>
          <w:rFonts w:ascii="Times New Roman" w:hAnsi="Times New Roman" w:cs="Times New Roman"/>
          <w:b/>
          <w:sz w:val="24"/>
          <w:szCs w:val="24"/>
        </w:rPr>
        <w:t>DETERMINA</w:t>
      </w:r>
    </w:p>
    <w:p w14:paraId="3E6323FF" w14:textId="77777777" w:rsidR="0066262F" w:rsidRPr="001B27D4" w:rsidRDefault="0066262F" w:rsidP="0066262F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144E5D09" w14:textId="77777777" w:rsidR="0066262F" w:rsidRPr="00F041EE" w:rsidRDefault="0066262F" w:rsidP="0066262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1EE">
        <w:rPr>
          <w:rFonts w:ascii="Times New Roman" w:hAnsi="Times New Roman" w:cs="Times New Roman"/>
          <w:sz w:val="24"/>
          <w:szCs w:val="24"/>
        </w:rPr>
        <w:t xml:space="preserve">Per le </w:t>
      </w:r>
      <w:proofErr w:type="spellStart"/>
      <w:r w:rsidRPr="00F041EE">
        <w:rPr>
          <w:rFonts w:ascii="Times New Roman" w:hAnsi="Times New Roman" w:cs="Times New Roman"/>
          <w:sz w:val="24"/>
          <w:szCs w:val="24"/>
        </w:rPr>
        <w:t>motivazioni</w:t>
      </w:r>
      <w:proofErr w:type="spellEnd"/>
      <w:r w:rsidRPr="00F0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1EE">
        <w:rPr>
          <w:rFonts w:ascii="Times New Roman" w:hAnsi="Times New Roman" w:cs="Times New Roman"/>
          <w:sz w:val="24"/>
          <w:szCs w:val="24"/>
        </w:rPr>
        <w:t>esposte</w:t>
      </w:r>
      <w:proofErr w:type="spellEnd"/>
      <w:r w:rsidRPr="00F041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041EE">
        <w:rPr>
          <w:rFonts w:ascii="Times New Roman" w:hAnsi="Times New Roman" w:cs="Times New Roman"/>
          <w:sz w:val="24"/>
          <w:szCs w:val="24"/>
        </w:rPr>
        <w:t>premessa</w:t>
      </w:r>
      <w:proofErr w:type="spellEnd"/>
      <w:r w:rsidRPr="00F04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1EE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F041EE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F041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0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1EE">
        <w:rPr>
          <w:rFonts w:ascii="Times New Roman" w:hAnsi="Times New Roman" w:cs="Times New Roman"/>
          <w:sz w:val="24"/>
          <w:szCs w:val="24"/>
        </w:rPr>
        <w:t>richiamano</w:t>
      </w:r>
      <w:proofErr w:type="spellEnd"/>
      <w:r w:rsidRPr="00F0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1EE">
        <w:rPr>
          <w:rFonts w:ascii="Times New Roman" w:hAnsi="Times New Roman" w:cs="Times New Roman"/>
          <w:sz w:val="24"/>
          <w:szCs w:val="24"/>
        </w:rPr>
        <w:t>integralmente</w:t>
      </w:r>
      <w:proofErr w:type="spellEnd"/>
      <w:r w:rsidRPr="00F041EE">
        <w:rPr>
          <w:rFonts w:ascii="Times New Roman" w:hAnsi="Times New Roman" w:cs="Times New Roman"/>
          <w:sz w:val="24"/>
          <w:szCs w:val="24"/>
        </w:rPr>
        <w:t>:</w:t>
      </w:r>
    </w:p>
    <w:p w14:paraId="25C4ED12" w14:textId="77777777" w:rsidR="001B27D4" w:rsidRDefault="001B27D4" w:rsidP="0066262F">
      <w:pPr>
        <w:pStyle w:val="Paragrafoelenco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27D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affidare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società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r w:rsidRPr="001B27D4">
        <w:rPr>
          <w:rFonts w:ascii="Times New Roman" w:hAnsi="Times New Roman" w:cs="Times New Roman"/>
          <w:b/>
          <w:bCs/>
          <w:sz w:val="24"/>
          <w:szCs w:val="24"/>
        </w:rPr>
        <w:t>FORMULA S.p.A.</w:t>
      </w:r>
      <w:r w:rsidRPr="001B27D4">
        <w:rPr>
          <w:rFonts w:ascii="Times New Roman" w:hAnsi="Times New Roman" w:cs="Times New Roman"/>
          <w:sz w:val="24"/>
          <w:szCs w:val="24"/>
        </w:rPr>
        <w:t xml:space="preserve">, con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in Via Bisceglie n. 76, 20152 Milano (MI) – P.IVA 12427540963, il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manutenzione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software DBWIN, SIACNET ed Elea 679 Software Privacy per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anni 2023 e 2024, per un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importo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distinto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CADF71D" w14:textId="77777777" w:rsidR="001B27D4" w:rsidRPr="001B27D4" w:rsidRDefault="001B27D4" w:rsidP="001B27D4">
      <w:pPr>
        <w:pStyle w:val="Paragrafoelenco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7D4">
        <w:rPr>
          <w:rFonts w:ascii="Times New Roman" w:hAnsi="Times New Roman" w:cs="Times New Roman"/>
          <w:sz w:val="24"/>
          <w:szCs w:val="24"/>
        </w:rPr>
        <w:t xml:space="preserve">anno 2023: € 2.805,18 </w:t>
      </w:r>
      <w:proofErr w:type="spellStart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oltre</w:t>
      </w:r>
      <w:proofErr w:type="spellEnd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iva</w:t>
      </w:r>
      <w:proofErr w:type="spellEnd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€ 617,14 e </w:t>
      </w:r>
      <w:proofErr w:type="spellStart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così</w:t>
      </w:r>
      <w:proofErr w:type="spellEnd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per un </w:t>
      </w:r>
      <w:proofErr w:type="spellStart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totale</w:t>
      </w:r>
      <w:proofErr w:type="spellEnd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di € 3.422,32</w:t>
      </w:r>
    </w:p>
    <w:p w14:paraId="1C1A8C2C" w14:textId="4856E8F7" w:rsidR="001B27D4" w:rsidRPr="001B27D4" w:rsidRDefault="001B27D4" w:rsidP="001B27D4">
      <w:pPr>
        <w:pStyle w:val="Paragrafoelenco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7D4">
        <w:rPr>
          <w:rFonts w:ascii="Times New Roman" w:hAnsi="Times New Roman" w:cs="Times New Roman"/>
          <w:sz w:val="24"/>
          <w:szCs w:val="24"/>
        </w:rPr>
        <w:t>anno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27D4">
        <w:rPr>
          <w:rFonts w:ascii="Times New Roman" w:hAnsi="Times New Roman" w:cs="Times New Roman"/>
          <w:sz w:val="24"/>
          <w:szCs w:val="24"/>
        </w:rPr>
        <w:t xml:space="preserve">: € 2.824,82 </w:t>
      </w:r>
      <w:proofErr w:type="spellStart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oltre</w:t>
      </w:r>
      <w:proofErr w:type="spellEnd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iva</w:t>
      </w:r>
      <w:proofErr w:type="spellEnd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€ 621,46 e </w:t>
      </w:r>
      <w:proofErr w:type="spellStart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così</w:t>
      </w:r>
      <w:proofErr w:type="spellEnd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per un </w:t>
      </w:r>
      <w:proofErr w:type="spellStart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totale</w:t>
      </w:r>
      <w:proofErr w:type="spellEnd"/>
      <w:r w:rsidRPr="001B27D4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di € 3.446,28</w:t>
      </w:r>
    </w:p>
    <w:p w14:paraId="180B4B7F" w14:textId="2693E73C" w:rsidR="0066262F" w:rsidRPr="00127606" w:rsidRDefault="001B27D4" w:rsidP="001B27D4">
      <w:pPr>
        <w:pStyle w:val="Paragrafoelenco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27D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assumere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l’impegno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spesa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per € 5.630,00 (al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netto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IVA) a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carico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del budget 2024 –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capitolo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CP.01.09.0017</w:t>
      </w:r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considerata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competenza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riferita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all’anno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2023 per la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precedentemente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impegnata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B27D4">
        <w:rPr>
          <w:rFonts w:ascii="Times New Roman" w:hAnsi="Times New Roman" w:cs="Times New Roman"/>
          <w:sz w:val="24"/>
          <w:szCs w:val="24"/>
        </w:rPr>
        <w:t>liquidata</w:t>
      </w:r>
      <w:proofErr w:type="spellEnd"/>
      <w:r w:rsidRPr="001B27D4">
        <w:rPr>
          <w:rFonts w:ascii="Times New Roman" w:hAnsi="Times New Roman" w:cs="Times New Roman"/>
          <w:sz w:val="24"/>
          <w:szCs w:val="24"/>
        </w:rPr>
        <w:t>.</w:t>
      </w:r>
      <w:r w:rsidR="00127606" w:rsidRPr="00127606">
        <w:rPr>
          <w:rFonts w:ascii="Times New Roman" w:hAnsi="Times New Roman" w:cs="Times New Roman"/>
          <w:sz w:val="24"/>
          <w:szCs w:val="24"/>
        </w:rPr>
        <w:t>]</w:t>
      </w:r>
      <w:r w:rsidR="00064541" w:rsidRPr="00127606">
        <w:rPr>
          <w:rFonts w:ascii="Times New Roman" w:hAnsi="Times New Roman" w:cs="Times New Roman"/>
          <w:sz w:val="24"/>
          <w:szCs w:val="24"/>
        </w:rPr>
        <w:t>.</w:t>
      </w:r>
    </w:p>
    <w:p w14:paraId="6C42537C" w14:textId="77777777" w:rsidR="0066262F" w:rsidRDefault="00064541" w:rsidP="0066262F">
      <w:pPr>
        <w:pStyle w:val="Paragrafoelenco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262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disporre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liquidazione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dell’importo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dovuto, previa verifica del DURC regolare della ditta affidataria, con applicazione del meccanismo dello split payment (ai sensi dell’art. 17-ter del DPR 633/1972).</w:t>
      </w:r>
    </w:p>
    <w:p w14:paraId="57DA5604" w14:textId="77777777" w:rsidR="0066262F" w:rsidRDefault="00064541" w:rsidP="0066262F">
      <w:pPr>
        <w:pStyle w:val="Paragrafoelenco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262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autorizzare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pagamento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conto corrente dedicato comunicato dall’affidataria, nel rispetto degli obblighi di tracciabilità dei flussi finanziari previsti dalla L. 136/2010.</w:t>
      </w:r>
    </w:p>
    <w:p w14:paraId="70D66A72" w14:textId="77777777" w:rsidR="0066262F" w:rsidRDefault="00064541" w:rsidP="0066262F">
      <w:pPr>
        <w:pStyle w:val="Paragrafoelenco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262F">
        <w:rPr>
          <w:rFonts w:ascii="Times New Roman" w:hAnsi="Times New Roman" w:cs="Times New Roman"/>
          <w:sz w:val="24"/>
          <w:szCs w:val="24"/>
        </w:rPr>
        <w:t xml:space="preserve">Di dare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atto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determinazione costituisce contestualmente determina a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contrarre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acquisto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, ed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acquista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efficacia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comunicazione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all’affidatario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dall’avvio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dell’esecuzione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prestazione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>.</w:t>
      </w:r>
    </w:p>
    <w:p w14:paraId="627FD8E9" w14:textId="33E199CF" w:rsidR="00D2779F" w:rsidRPr="0066262F" w:rsidRDefault="00064541" w:rsidP="0066262F">
      <w:pPr>
        <w:pStyle w:val="Paragrafoelenco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262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disporre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6262F">
        <w:rPr>
          <w:rFonts w:ascii="Times New Roman" w:hAnsi="Times New Roman" w:cs="Times New Roman"/>
          <w:sz w:val="24"/>
          <w:szCs w:val="24"/>
        </w:rPr>
        <w:t>pubblicazione</w:t>
      </w:r>
      <w:proofErr w:type="spellEnd"/>
      <w:r w:rsidRPr="0066262F">
        <w:rPr>
          <w:rFonts w:ascii="Times New Roman" w:hAnsi="Times New Roman" w:cs="Times New Roman"/>
          <w:sz w:val="24"/>
          <w:szCs w:val="24"/>
        </w:rPr>
        <w:t xml:space="preserve"> del presente atto nella sezione “Amministrazione Trasparente” del sito istituzionale dell’Ente, in ottemperanza all’art. 23 del </w:t>
      </w:r>
      <w:proofErr w:type="gramStart"/>
      <w:r w:rsidRPr="0066262F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66262F">
        <w:rPr>
          <w:rFonts w:ascii="Times New Roman" w:hAnsi="Times New Roman" w:cs="Times New Roman"/>
          <w:sz w:val="24"/>
          <w:szCs w:val="24"/>
        </w:rPr>
        <w:t>. 33/2013.</w:t>
      </w:r>
    </w:p>
    <w:p w14:paraId="75613C15" w14:textId="77777777" w:rsidR="00D2779F" w:rsidRPr="001B27D4" w:rsidRDefault="00D2779F" w:rsidP="00F5135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D6741F0" w14:textId="77777777" w:rsidR="00C42868" w:rsidRPr="00C42868" w:rsidRDefault="00064541" w:rsidP="00C42868">
      <w:pPr>
        <w:spacing w:after="0" w:line="240" w:lineRule="auto"/>
        <w:ind w:left="6804" w:right="1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2868">
        <w:rPr>
          <w:rFonts w:ascii="Times New Roman" w:hAnsi="Times New Roman" w:cs="Times New Roman"/>
          <w:bCs/>
          <w:sz w:val="24"/>
          <w:szCs w:val="24"/>
        </w:rPr>
        <w:t>IL DIRETTORE</w:t>
      </w:r>
    </w:p>
    <w:p w14:paraId="2E4AF91A" w14:textId="20A82384" w:rsidR="00D2779F" w:rsidRPr="00C42868" w:rsidRDefault="00064541" w:rsidP="00C42868">
      <w:pPr>
        <w:spacing w:after="0" w:line="240" w:lineRule="auto"/>
        <w:ind w:left="6804" w:right="1240"/>
        <w:jc w:val="center"/>
        <w:rPr>
          <w:rFonts w:ascii="Times New Roman" w:hAnsi="Times New Roman" w:cs="Times New Roman"/>
        </w:rPr>
      </w:pPr>
      <w:r w:rsidRPr="00C42868">
        <w:rPr>
          <w:rFonts w:ascii="Times New Roman" w:hAnsi="Times New Roman" w:cs="Times New Roman"/>
        </w:rPr>
        <w:t xml:space="preserve">(Dott. Lino </w:t>
      </w:r>
      <w:proofErr w:type="spellStart"/>
      <w:r w:rsidRPr="00C42868">
        <w:rPr>
          <w:rFonts w:ascii="Times New Roman" w:hAnsi="Times New Roman" w:cs="Times New Roman"/>
        </w:rPr>
        <w:t>Implatini</w:t>
      </w:r>
      <w:proofErr w:type="spellEnd"/>
      <w:r w:rsidRPr="00C42868">
        <w:rPr>
          <w:rFonts w:ascii="Times New Roman" w:hAnsi="Times New Roman" w:cs="Times New Roman"/>
        </w:rPr>
        <w:t>)</w:t>
      </w:r>
    </w:p>
    <w:sectPr w:rsidR="00D2779F" w:rsidRPr="00C42868" w:rsidSect="001B27D4">
      <w:pgSz w:w="12240" w:h="15840"/>
      <w:pgMar w:top="851" w:right="851" w:bottom="45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91E1F"/>
    <w:multiLevelType w:val="hybridMultilevel"/>
    <w:tmpl w:val="A9DE2A72"/>
    <w:lvl w:ilvl="0" w:tplc="F13C19DA">
      <w:numFmt w:val="bullet"/>
      <w:lvlText w:val="•"/>
      <w:lvlJc w:val="left"/>
      <w:pPr>
        <w:ind w:left="643" w:hanging="360"/>
      </w:pPr>
      <w:rPr>
        <w:rFonts w:ascii="Times New Roman" w:eastAsiaTheme="minorEastAsia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7038C"/>
    <w:multiLevelType w:val="hybridMultilevel"/>
    <w:tmpl w:val="603088B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B7100A0"/>
    <w:multiLevelType w:val="hybridMultilevel"/>
    <w:tmpl w:val="2E887F3A"/>
    <w:lvl w:ilvl="0" w:tplc="F13C19DA">
      <w:numFmt w:val="bullet"/>
      <w:lvlText w:val="•"/>
      <w:lvlJc w:val="left"/>
      <w:pPr>
        <w:ind w:left="643" w:hanging="360"/>
      </w:pPr>
      <w:rPr>
        <w:rFonts w:ascii="Times New Roman" w:eastAsiaTheme="minorEastAsia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3954"/>
    <w:multiLevelType w:val="hybridMultilevel"/>
    <w:tmpl w:val="9AE25A48"/>
    <w:lvl w:ilvl="0" w:tplc="F13C19DA">
      <w:numFmt w:val="bullet"/>
      <w:lvlText w:val="•"/>
      <w:lvlJc w:val="left"/>
      <w:pPr>
        <w:ind w:left="643" w:hanging="360"/>
      </w:pPr>
      <w:rPr>
        <w:rFonts w:ascii="Times New Roman" w:eastAsiaTheme="minorEastAsia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EFA470E"/>
    <w:multiLevelType w:val="hybridMultilevel"/>
    <w:tmpl w:val="8E26C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5567A"/>
    <w:multiLevelType w:val="hybridMultilevel"/>
    <w:tmpl w:val="AD60E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17769"/>
    <w:multiLevelType w:val="hybridMultilevel"/>
    <w:tmpl w:val="A7C01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09A"/>
    <w:multiLevelType w:val="hybridMultilevel"/>
    <w:tmpl w:val="EA845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03AC4"/>
    <w:multiLevelType w:val="hybridMultilevel"/>
    <w:tmpl w:val="6664A51E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6422271B"/>
    <w:multiLevelType w:val="hybridMultilevel"/>
    <w:tmpl w:val="E17288B8"/>
    <w:lvl w:ilvl="0" w:tplc="F13C19DA">
      <w:numFmt w:val="bullet"/>
      <w:lvlText w:val="•"/>
      <w:lvlJc w:val="left"/>
      <w:pPr>
        <w:ind w:left="643" w:hanging="360"/>
      </w:pPr>
      <w:rPr>
        <w:rFonts w:ascii="Times New Roman" w:eastAsiaTheme="minorEastAsia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70F39"/>
    <w:multiLevelType w:val="hybridMultilevel"/>
    <w:tmpl w:val="681A2000"/>
    <w:lvl w:ilvl="0" w:tplc="F13C19DA">
      <w:numFmt w:val="bullet"/>
      <w:lvlText w:val="•"/>
      <w:lvlJc w:val="left"/>
      <w:pPr>
        <w:ind w:left="643" w:hanging="360"/>
      </w:pPr>
      <w:rPr>
        <w:rFonts w:ascii="Times New Roman" w:eastAsiaTheme="minorEastAsia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C3453"/>
    <w:multiLevelType w:val="hybridMultilevel"/>
    <w:tmpl w:val="BF86F210"/>
    <w:lvl w:ilvl="0" w:tplc="1C264F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77341DC"/>
    <w:multiLevelType w:val="hybridMultilevel"/>
    <w:tmpl w:val="B7108D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12924"/>
    <w:multiLevelType w:val="hybridMultilevel"/>
    <w:tmpl w:val="1A546272"/>
    <w:lvl w:ilvl="0" w:tplc="F13C19DA">
      <w:numFmt w:val="bullet"/>
      <w:lvlText w:val="•"/>
      <w:lvlJc w:val="left"/>
      <w:pPr>
        <w:ind w:left="643" w:hanging="360"/>
      </w:pPr>
      <w:rPr>
        <w:rFonts w:ascii="Times New Roman" w:eastAsiaTheme="minorEastAsia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050193">
    <w:abstractNumId w:val="8"/>
  </w:num>
  <w:num w:numId="2" w16cid:durableId="2076736283">
    <w:abstractNumId w:val="6"/>
  </w:num>
  <w:num w:numId="3" w16cid:durableId="541284179">
    <w:abstractNumId w:val="5"/>
  </w:num>
  <w:num w:numId="4" w16cid:durableId="1694460166">
    <w:abstractNumId w:val="4"/>
  </w:num>
  <w:num w:numId="5" w16cid:durableId="857036908">
    <w:abstractNumId w:val="7"/>
  </w:num>
  <w:num w:numId="6" w16cid:durableId="1567645511">
    <w:abstractNumId w:val="3"/>
  </w:num>
  <w:num w:numId="7" w16cid:durableId="2047289277">
    <w:abstractNumId w:val="2"/>
  </w:num>
  <w:num w:numId="8" w16cid:durableId="194654814">
    <w:abstractNumId w:val="1"/>
  </w:num>
  <w:num w:numId="9" w16cid:durableId="238835129">
    <w:abstractNumId w:val="0"/>
  </w:num>
  <w:num w:numId="10" w16cid:durableId="1557007172">
    <w:abstractNumId w:val="17"/>
  </w:num>
  <w:num w:numId="11" w16cid:durableId="149710720">
    <w:abstractNumId w:val="12"/>
  </w:num>
  <w:num w:numId="12" w16cid:durableId="570581457">
    <w:abstractNumId w:val="9"/>
  </w:num>
  <w:num w:numId="13" w16cid:durableId="242032156">
    <w:abstractNumId w:val="22"/>
  </w:num>
  <w:num w:numId="14" w16cid:durableId="453258881">
    <w:abstractNumId w:val="11"/>
  </w:num>
  <w:num w:numId="15" w16cid:durableId="1297375788">
    <w:abstractNumId w:val="19"/>
  </w:num>
  <w:num w:numId="16" w16cid:durableId="1104305222">
    <w:abstractNumId w:val="18"/>
  </w:num>
  <w:num w:numId="17" w16cid:durableId="1676031254">
    <w:abstractNumId w:val="15"/>
  </w:num>
  <w:num w:numId="18" w16cid:durableId="2013754046">
    <w:abstractNumId w:val="14"/>
  </w:num>
  <w:num w:numId="19" w16cid:durableId="1419597971">
    <w:abstractNumId w:val="13"/>
  </w:num>
  <w:num w:numId="20" w16cid:durableId="841166979">
    <w:abstractNumId w:val="16"/>
  </w:num>
  <w:num w:numId="21" w16cid:durableId="1031105313">
    <w:abstractNumId w:val="10"/>
  </w:num>
  <w:num w:numId="22" w16cid:durableId="297758177">
    <w:abstractNumId w:val="20"/>
  </w:num>
  <w:num w:numId="23" w16cid:durableId="4384563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541"/>
    <w:rsid w:val="000B6F29"/>
    <w:rsid w:val="00127606"/>
    <w:rsid w:val="0015074B"/>
    <w:rsid w:val="001920C4"/>
    <w:rsid w:val="001B27D4"/>
    <w:rsid w:val="0029639D"/>
    <w:rsid w:val="00326F90"/>
    <w:rsid w:val="00390525"/>
    <w:rsid w:val="00551C03"/>
    <w:rsid w:val="00615225"/>
    <w:rsid w:val="0066262F"/>
    <w:rsid w:val="006F0E6E"/>
    <w:rsid w:val="007247B7"/>
    <w:rsid w:val="00AA1D8D"/>
    <w:rsid w:val="00B47730"/>
    <w:rsid w:val="00BB0551"/>
    <w:rsid w:val="00C42868"/>
    <w:rsid w:val="00CB0664"/>
    <w:rsid w:val="00CC2759"/>
    <w:rsid w:val="00D2779F"/>
    <w:rsid w:val="00DB3757"/>
    <w:rsid w:val="00DD02DE"/>
    <w:rsid w:val="00E73BF7"/>
    <w:rsid w:val="00F041EE"/>
    <w:rsid w:val="00F513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20B63"/>
  <w14:defaultImageDpi w14:val="300"/>
  <w15:docId w15:val="{BEC0E904-569B-4E39-875D-88F40CE6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35C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rsid w:val="006F0E6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1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15225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1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i.giustizia-amministrativa.it/portale/pages/istituzionale/visualizza?nodeRef=&amp;schema=tar_bs&amp;nrg=202300882&amp;nomeFile=202400165_01.html&amp;subDir=Provvedimen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5BF1A-5DCA-4E6F-9A71-628ABE62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Direzione</cp:lastModifiedBy>
  <cp:revision>2</cp:revision>
  <cp:lastPrinted>2025-11-27T12:15:00Z</cp:lastPrinted>
  <dcterms:created xsi:type="dcterms:W3CDTF">2025-11-27T12:20:00Z</dcterms:created>
  <dcterms:modified xsi:type="dcterms:W3CDTF">2025-11-27T12:20:00Z</dcterms:modified>
</cp:coreProperties>
</file>