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140" w:rsidRPr="00A44221" w:rsidRDefault="00B42140" w:rsidP="00B42140">
      <w:pPr>
        <w:jc w:val="center"/>
        <w:rPr>
          <w:b/>
        </w:rPr>
      </w:pPr>
      <w:r w:rsidRPr="00A44221">
        <w:rPr>
          <w:b/>
        </w:rPr>
        <w:t>RELAZIONE DEL COLLEGIO DEI REVISORI DEI CONTI</w:t>
      </w:r>
    </w:p>
    <w:p w:rsidR="004F2BED" w:rsidRDefault="004F2BED" w:rsidP="00B42140">
      <w:pPr>
        <w:jc w:val="center"/>
        <w:rPr>
          <w:b/>
        </w:rPr>
      </w:pPr>
    </w:p>
    <w:p w:rsidR="00B42140" w:rsidRPr="00A44221" w:rsidRDefault="00B42140" w:rsidP="00B42140">
      <w:pPr>
        <w:jc w:val="center"/>
        <w:rPr>
          <w:b/>
        </w:rPr>
      </w:pPr>
      <w:r w:rsidRPr="00A44221">
        <w:rPr>
          <w:b/>
        </w:rPr>
        <w:t>AL BUDGET ANNUALE 201</w:t>
      </w:r>
      <w:r w:rsidR="00D672CF">
        <w:rPr>
          <w:b/>
        </w:rPr>
        <w:t>9</w:t>
      </w:r>
    </w:p>
    <w:p w:rsidR="004F2BED" w:rsidRDefault="00B42140" w:rsidP="00B42140">
      <w:pPr>
        <w:tabs>
          <w:tab w:val="left" w:pos="2100"/>
          <w:tab w:val="center" w:pos="4819"/>
        </w:tabs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B42140" w:rsidRPr="00A44221" w:rsidRDefault="004F2BED" w:rsidP="00B42140">
      <w:pPr>
        <w:tabs>
          <w:tab w:val="left" w:pos="2100"/>
          <w:tab w:val="center" w:pos="4819"/>
        </w:tabs>
        <w:rPr>
          <w:b/>
        </w:rPr>
      </w:pPr>
      <w:r>
        <w:rPr>
          <w:b/>
        </w:rPr>
        <w:tab/>
      </w:r>
      <w:r w:rsidR="00B42140" w:rsidRPr="00A44221">
        <w:rPr>
          <w:b/>
        </w:rPr>
        <w:t>DELL’AUTOMOBILE CLUB MANTOVA</w:t>
      </w:r>
    </w:p>
    <w:p w:rsidR="00B42140" w:rsidRDefault="00B42140" w:rsidP="00B42140">
      <w:pPr>
        <w:jc w:val="center"/>
        <w:rPr>
          <w:sz w:val="24"/>
          <w:szCs w:val="24"/>
        </w:rPr>
      </w:pPr>
      <w:r w:rsidRPr="00A44221">
        <w:rPr>
          <w:sz w:val="24"/>
          <w:szCs w:val="24"/>
        </w:rPr>
        <w:t>(Art.3 e 26 del Regolamento di amministrazione e contabilità)</w:t>
      </w:r>
    </w:p>
    <w:p w:rsidR="00BD5861" w:rsidRDefault="00BD5861" w:rsidP="00A44221">
      <w:pPr>
        <w:jc w:val="center"/>
        <w:rPr>
          <w:sz w:val="24"/>
          <w:szCs w:val="24"/>
        </w:rPr>
      </w:pPr>
    </w:p>
    <w:p w:rsidR="007C720C" w:rsidRDefault="007C720C" w:rsidP="00A44221">
      <w:pPr>
        <w:jc w:val="center"/>
        <w:rPr>
          <w:sz w:val="24"/>
          <w:szCs w:val="24"/>
        </w:rPr>
      </w:pPr>
    </w:p>
    <w:p w:rsidR="00BD5861" w:rsidRDefault="00BD5861" w:rsidP="00D90C1C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Il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budget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economico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l’anno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 w:rsidR="00D672CF">
        <w:rPr>
          <w:sz w:val="24"/>
          <w:szCs w:val="24"/>
        </w:rPr>
        <w:t>9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dell’Automobile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Club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Mantova,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è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stato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predisposto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conformità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nuovo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Regolamento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amministrazione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contabilità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dell’Ente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(di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seguito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breve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Regolamento)</w:t>
      </w:r>
      <w:r w:rsidR="004A2DB1">
        <w:rPr>
          <w:sz w:val="24"/>
          <w:szCs w:val="24"/>
        </w:rPr>
        <w:t>,</w:t>
      </w:r>
      <w:r w:rsidR="00594053">
        <w:rPr>
          <w:sz w:val="24"/>
          <w:szCs w:val="24"/>
        </w:rPr>
        <w:t xml:space="preserve"> </w:t>
      </w:r>
      <w:r w:rsidR="004A2DB1">
        <w:rPr>
          <w:sz w:val="24"/>
          <w:szCs w:val="24"/>
        </w:rPr>
        <w:t>adottato</w:t>
      </w:r>
      <w:r w:rsidR="00594053">
        <w:rPr>
          <w:sz w:val="24"/>
          <w:szCs w:val="24"/>
        </w:rPr>
        <w:t xml:space="preserve"> </w:t>
      </w:r>
      <w:r w:rsidR="005767E3">
        <w:rPr>
          <w:sz w:val="24"/>
          <w:szCs w:val="24"/>
        </w:rPr>
        <w:t>con</w:t>
      </w:r>
      <w:r w:rsidR="00594053">
        <w:rPr>
          <w:sz w:val="24"/>
          <w:szCs w:val="24"/>
        </w:rPr>
        <w:t xml:space="preserve"> </w:t>
      </w:r>
      <w:r w:rsidR="005767E3">
        <w:rPr>
          <w:sz w:val="24"/>
          <w:szCs w:val="24"/>
        </w:rPr>
        <w:t>delibera</w:t>
      </w:r>
      <w:r w:rsidR="00594053">
        <w:rPr>
          <w:sz w:val="24"/>
          <w:szCs w:val="24"/>
        </w:rPr>
        <w:t xml:space="preserve"> </w:t>
      </w:r>
      <w:r w:rsidR="005767E3">
        <w:rPr>
          <w:sz w:val="24"/>
          <w:szCs w:val="24"/>
        </w:rPr>
        <w:t>del</w:t>
      </w:r>
      <w:r w:rsidR="00594053">
        <w:rPr>
          <w:sz w:val="24"/>
          <w:szCs w:val="24"/>
        </w:rPr>
        <w:t xml:space="preserve"> </w:t>
      </w:r>
      <w:r w:rsidR="005767E3">
        <w:rPr>
          <w:sz w:val="24"/>
          <w:szCs w:val="24"/>
        </w:rPr>
        <w:t>Consiglio</w:t>
      </w:r>
      <w:r w:rsidR="00594053">
        <w:rPr>
          <w:sz w:val="24"/>
          <w:szCs w:val="24"/>
        </w:rPr>
        <w:t xml:space="preserve"> </w:t>
      </w:r>
      <w:r w:rsidR="005767E3">
        <w:rPr>
          <w:sz w:val="24"/>
          <w:szCs w:val="24"/>
        </w:rPr>
        <w:t>Direttivo</w:t>
      </w:r>
      <w:r w:rsidR="00594053">
        <w:rPr>
          <w:sz w:val="24"/>
          <w:szCs w:val="24"/>
        </w:rPr>
        <w:t xml:space="preserve"> </w:t>
      </w:r>
      <w:r w:rsidR="00D90C1C">
        <w:rPr>
          <w:sz w:val="24"/>
          <w:szCs w:val="24"/>
        </w:rPr>
        <w:t>nella</w:t>
      </w:r>
      <w:r w:rsidR="00594053">
        <w:rPr>
          <w:sz w:val="24"/>
          <w:szCs w:val="24"/>
        </w:rPr>
        <w:t xml:space="preserve"> </w:t>
      </w:r>
      <w:r w:rsidR="00D90C1C">
        <w:rPr>
          <w:sz w:val="24"/>
          <w:szCs w:val="24"/>
        </w:rPr>
        <w:t>riunione</w:t>
      </w:r>
      <w:r w:rsidR="00594053">
        <w:rPr>
          <w:sz w:val="24"/>
          <w:szCs w:val="24"/>
        </w:rPr>
        <w:t xml:space="preserve"> </w:t>
      </w:r>
      <w:r w:rsidR="00D90C1C">
        <w:rPr>
          <w:sz w:val="24"/>
          <w:szCs w:val="24"/>
        </w:rPr>
        <w:t>del</w:t>
      </w:r>
      <w:r w:rsidR="00594053">
        <w:rPr>
          <w:sz w:val="24"/>
          <w:szCs w:val="24"/>
        </w:rPr>
        <w:t xml:space="preserve"> </w:t>
      </w:r>
      <w:r w:rsidR="00D90C1C">
        <w:rPr>
          <w:sz w:val="24"/>
          <w:szCs w:val="24"/>
        </w:rPr>
        <w:t>14</w:t>
      </w:r>
      <w:r w:rsidR="00594053">
        <w:rPr>
          <w:sz w:val="24"/>
          <w:szCs w:val="24"/>
        </w:rPr>
        <w:t xml:space="preserve"> </w:t>
      </w:r>
      <w:r w:rsidR="00D90C1C">
        <w:rPr>
          <w:sz w:val="24"/>
          <w:szCs w:val="24"/>
        </w:rPr>
        <w:t>settembre</w:t>
      </w:r>
      <w:r w:rsidR="00594053">
        <w:rPr>
          <w:sz w:val="24"/>
          <w:szCs w:val="24"/>
        </w:rPr>
        <w:t xml:space="preserve"> </w:t>
      </w:r>
      <w:r w:rsidR="00D90C1C">
        <w:rPr>
          <w:sz w:val="24"/>
          <w:szCs w:val="24"/>
        </w:rPr>
        <w:t>2009,</w:t>
      </w:r>
      <w:r w:rsidR="00594053">
        <w:rPr>
          <w:sz w:val="24"/>
          <w:szCs w:val="24"/>
        </w:rPr>
        <w:t xml:space="preserve"> </w:t>
      </w:r>
      <w:r w:rsidR="00D90C1C">
        <w:rPr>
          <w:sz w:val="24"/>
          <w:szCs w:val="24"/>
        </w:rPr>
        <w:t>il</w:t>
      </w:r>
      <w:r w:rsidR="00594053">
        <w:rPr>
          <w:sz w:val="24"/>
          <w:szCs w:val="24"/>
        </w:rPr>
        <w:t xml:space="preserve"> </w:t>
      </w:r>
      <w:r w:rsidR="00D90C1C">
        <w:rPr>
          <w:sz w:val="24"/>
          <w:szCs w:val="24"/>
        </w:rPr>
        <w:t>quale</w:t>
      </w:r>
      <w:r w:rsidR="00594053">
        <w:rPr>
          <w:sz w:val="24"/>
          <w:szCs w:val="24"/>
        </w:rPr>
        <w:t xml:space="preserve"> </w:t>
      </w:r>
      <w:r w:rsidR="00D90C1C">
        <w:rPr>
          <w:sz w:val="24"/>
          <w:szCs w:val="24"/>
        </w:rPr>
        <w:t>prevede</w:t>
      </w:r>
      <w:r w:rsidR="00594053">
        <w:rPr>
          <w:sz w:val="24"/>
          <w:szCs w:val="24"/>
        </w:rPr>
        <w:t xml:space="preserve"> </w:t>
      </w:r>
      <w:r w:rsidR="00D90C1C">
        <w:rPr>
          <w:sz w:val="24"/>
          <w:szCs w:val="24"/>
        </w:rPr>
        <w:t>l’adozione</w:t>
      </w:r>
      <w:r w:rsidR="00594053">
        <w:rPr>
          <w:sz w:val="24"/>
          <w:szCs w:val="24"/>
        </w:rPr>
        <w:t xml:space="preserve"> </w:t>
      </w:r>
      <w:r w:rsidR="00D90C1C">
        <w:rPr>
          <w:sz w:val="24"/>
          <w:szCs w:val="24"/>
        </w:rPr>
        <w:t>di</w:t>
      </w:r>
      <w:r w:rsidR="00594053">
        <w:rPr>
          <w:sz w:val="24"/>
          <w:szCs w:val="24"/>
        </w:rPr>
        <w:t xml:space="preserve"> </w:t>
      </w:r>
      <w:r w:rsidR="00D90C1C">
        <w:rPr>
          <w:sz w:val="24"/>
          <w:szCs w:val="24"/>
        </w:rPr>
        <w:t>un</w:t>
      </w:r>
      <w:r w:rsidR="00594053">
        <w:rPr>
          <w:sz w:val="24"/>
          <w:szCs w:val="24"/>
        </w:rPr>
        <w:t xml:space="preserve"> </w:t>
      </w:r>
      <w:r w:rsidR="00D90C1C">
        <w:rPr>
          <w:sz w:val="24"/>
          <w:szCs w:val="24"/>
        </w:rPr>
        <w:t>sistema</w:t>
      </w:r>
      <w:r w:rsidR="00594053">
        <w:rPr>
          <w:sz w:val="24"/>
          <w:szCs w:val="24"/>
        </w:rPr>
        <w:t xml:space="preserve"> </w:t>
      </w:r>
      <w:r w:rsidR="00D90C1C">
        <w:rPr>
          <w:sz w:val="24"/>
          <w:szCs w:val="24"/>
        </w:rPr>
        <w:t>contabile</w:t>
      </w:r>
      <w:r w:rsidR="00594053">
        <w:rPr>
          <w:sz w:val="24"/>
          <w:szCs w:val="24"/>
        </w:rPr>
        <w:t xml:space="preserve"> </w:t>
      </w:r>
      <w:r w:rsidR="00D90C1C">
        <w:rPr>
          <w:sz w:val="24"/>
          <w:szCs w:val="24"/>
        </w:rPr>
        <w:t>di</w:t>
      </w:r>
      <w:r w:rsidR="00594053">
        <w:rPr>
          <w:sz w:val="24"/>
          <w:szCs w:val="24"/>
        </w:rPr>
        <w:t xml:space="preserve"> </w:t>
      </w:r>
      <w:r w:rsidR="00D90C1C">
        <w:rPr>
          <w:sz w:val="24"/>
          <w:szCs w:val="24"/>
        </w:rPr>
        <w:t>tipo</w:t>
      </w:r>
      <w:r w:rsidR="00594053">
        <w:rPr>
          <w:sz w:val="24"/>
          <w:szCs w:val="24"/>
        </w:rPr>
        <w:t xml:space="preserve"> </w:t>
      </w:r>
      <w:r w:rsidR="00D90C1C">
        <w:rPr>
          <w:sz w:val="24"/>
          <w:szCs w:val="24"/>
        </w:rPr>
        <w:t>economico</w:t>
      </w:r>
      <w:r w:rsidR="00594053">
        <w:rPr>
          <w:sz w:val="24"/>
          <w:szCs w:val="24"/>
        </w:rPr>
        <w:t xml:space="preserve"> </w:t>
      </w:r>
      <w:r w:rsidR="00D90C1C">
        <w:rPr>
          <w:sz w:val="24"/>
          <w:szCs w:val="24"/>
        </w:rPr>
        <w:t>patrimoniale,</w:t>
      </w:r>
      <w:r w:rsidR="00594053">
        <w:rPr>
          <w:sz w:val="24"/>
          <w:szCs w:val="24"/>
        </w:rPr>
        <w:t xml:space="preserve"> </w:t>
      </w:r>
      <w:r w:rsidR="00D90C1C">
        <w:rPr>
          <w:sz w:val="24"/>
          <w:szCs w:val="24"/>
        </w:rPr>
        <w:t>al</w:t>
      </w:r>
      <w:r w:rsidR="00594053">
        <w:rPr>
          <w:sz w:val="24"/>
          <w:szCs w:val="24"/>
        </w:rPr>
        <w:t xml:space="preserve"> </w:t>
      </w:r>
      <w:r w:rsidR="00D90C1C">
        <w:rPr>
          <w:sz w:val="24"/>
          <w:szCs w:val="24"/>
        </w:rPr>
        <w:t>fine</w:t>
      </w:r>
      <w:r w:rsidR="00594053">
        <w:rPr>
          <w:sz w:val="24"/>
          <w:szCs w:val="24"/>
        </w:rPr>
        <w:t xml:space="preserve"> </w:t>
      </w:r>
      <w:r w:rsidR="00D90C1C">
        <w:rPr>
          <w:sz w:val="24"/>
          <w:szCs w:val="24"/>
        </w:rPr>
        <w:t>di</w:t>
      </w:r>
      <w:r w:rsidR="00594053">
        <w:rPr>
          <w:sz w:val="24"/>
          <w:szCs w:val="24"/>
        </w:rPr>
        <w:t xml:space="preserve"> </w:t>
      </w:r>
      <w:r w:rsidR="00D90C1C">
        <w:rPr>
          <w:sz w:val="24"/>
          <w:szCs w:val="24"/>
        </w:rPr>
        <w:t>fornire,</w:t>
      </w:r>
      <w:r w:rsidR="00594053">
        <w:rPr>
          <w:sz w:val="24"/>
          <w:szCs w:val="24"/>
        </w:rPr>
        <w:t xml:space="preserve"> </w:t>
      </w:r>
      <w:r w:rsidR="00D90C1C">
        <w:rPr>
          <w:sz w:val="24"/>
          <w:szCs w:val="24"/>
        </w:rPr>
        <w:t>secondo</w:t>
      </w:r>
      <w:r w:rsidR="00594053">
        <w:rPr>
          <w:sz w:val="24"/>
          <w:szCs w:val="24"/>
        </w:rPr>
        <w:t xml:space="preserve"> </w:t>
      </w:r>
      <w:r w:rsidR="00D90C1C">
        <w:rPr>
          <w:sz w:val="24"/>
          <w:szCs w:val="24"/>
        </w:rPr>
        <w:t>quanto</w:t>
      </w:r>
      <w:r w:rsidR="00594053">
        <w:rPr>
          <w:sz w:val="24"/>
          <w:szCs w:val="24"/>
        </w:rPr>
        <w:t xml:space="preserve"> </w:t>
      </w:r>
      <w:r w:rsidR="00D90C1C">
        <w:rPr>
          <w:sz w:val="24"/>
          <w:szCs w:val="24"/>
        </w:rPr>
        <w:t>previsto</w:t>
      </w:r>
      <w:r w:rsidR="00594053">
        <w:rPr>
          <w:sz w:val="24"/>
          <w:szCs w:val="24"/>
        </w:rPr>
        <w:t xml:space="preserve"> </w:t>
      </w:r>
      <w:r w:rsidR="00D90C1C">
        <w:rPr>
          <w:sz w:val="24"/>
          <w:szCs w:val="24"/>
        </w:rPr>
        <w:t>dagli</w:t>
      </w:r>
      <w:r w:rsidR="00594053">
        <w:rPr>
          <w:sz w:val="24"/>
          <w:szCs w:val="24"/>
        </w:rPr>
        <w:t xml:space="preserve"> </w:t>
      </w:r>
      <w:r w:rsidR="00D90C1C">
        <w:rPr>
          <w:sz w:val="24"/>
          <w:szCs w:val="24"/>
        </w:rPr>
        <w:t>artt.2423</w:t>
      </w:r>
      <w:r w:rsidR="00594053">
        <w:rPr>
          <w:sz w:val="24"/>
          <w:szCs w:val="24"/>
        </w:rPr>
        <w:t xml:space="preserve"> </w:t>
      </w:r>
      <w:r w:rsidR="00D90C1C">
        <w:rPr>
          <w:sz w:val="24"/>
          <w:szCs w:val="24"/>
        </w:rPr>
        <w:t>e</w:t>
      </w:r>
      <w:r w:rsidR="00594053">
        <w:rPr>
          <w:sz w:val="24"/>
          <w:szCs w:val="24"/>
        </w:rPr>
        <w:t xml:space="preserve"> </w:t>
      </w:r>
      <w:r w:rsidR="00D90C1C">
        <w:rPr>
          <w:sz w:val="24"/>
          <w:szCs w:val="24"/>
        </w:rPr>
        <w:t>ss.</w:t>
      </w:r>
      <w:r w:rsidR="00594053">
        <w:rPr>
          <w:sz w:val="24"/>
          <w:szCs w:val="24"/>
        </w:rPr>
        <w:t xml:space="preserve"> </w:t>
      </w:r>
      <w:r w:rsidR="00A44D82" w:rsidRPr="002E2A94">
        <w:rPr>
          <w:sz w:val="24"/>
          <w:szCs w:val="24"/>
        </w:rPr>
        <w:t>d</w:t>
      </w:r>
      <w:r w:rsidR="00D90C1C" w:rsidRPr="002E2A94">
        <w:rPr>
          <w:sz w:val="24"/>
          <w:szCs w:val="24"/>
        </w:rPr>
        <w:t>el</w:t>
      </w:r>
      <w:r w:rsidR="00594053">
        <w:rPr>
          <w:sz w:val="24"/>
          <w:szCs w:val="24"/>
        </w:rPr>
        <w:t xml:space="preserve"> </w:t>
      </w:r>
      <w:r w:rsidR="00D90C1C">
        <w:rPr>
          <w:sz w:val="24"/>
          <w:szCs w:val="24"/>
        </w:rPr>
        <w:t>codice</w:t>
      </w:r>
      <w:r w:rsidR="00594053">
        <w:rPr>
          <w:sz w:val="24"/>
          <w:szCs w:val="24"/>
        </w:rPr>
        <w:t xml:space="preserve"> </w:t>
      </w:r>
      <w:r w:rsidR="00D90C1C">
        <w:rPr>
          <w:sz w:val="24"/>
          <w:szCs w:val="24"/>
        </w:rPr>
        <w:t>civile,</w:t>
      </w:r>
      <w:r w:rsidR="00594053">
        <w:rPr>
          <w:sz w:val="24"/>
          <w:szCs w:val="24"/>
        </w:rPr>
        <w:t xml:space="preserve"> </w:t>
      </w:r>
      <w:r w:rsidR="00D90C1C">
        <w:rPr>
          <w:sz w:val="24"/>
          <w:szCs w:val="24"/>
        </w:rPr>
        <w:t>con</w:t>
      </w:r>
      <w:r w:rsidR="00594053">
        <w:rPr>
          <w:sz w:val="24"/>
          <w:szCs w:val="24"/>
        </w:rPr>
        <w:t xml:space="preserve"> </w:t>
      </w:r>
      <w:r w:rsidR="00D90C1C">
        <w:rPr>
          <w:sz w:val="24"/>
          <w:szCs w:val="24"/>
        </w:rPr>
        <w:t>il</w:t>
      </w:r>
      <w:r w:rsidR="00594053">
        <w:rPr>
          <w:sz w:val="24"/>
          <w:szCs w:val="24"/>
        </w:rPr>
        <w:t xml:space="preserve"> </w:t>
      </w:r>
      <w:r w:rsidR="00D90C1C">
        <w:rPr>
          <w:sz w:val="24"/>
          <w:szCs w:val="24"/>
        </w:rPr>
        <w:t>bilancio</w:t>
      </w:r>
      <w:r w:rsidR="00594053">
        <w:rPr>
          <w:sz w:val="24"/>
          <w:szCs w:val="24"/>
        </w:rPr>
        <w:t xml:space="preserve"> </w:t>
      </w:r>
      <w:r w:rsidR="00D90C1C">
        <w:rPr>
          <w:sz w:val="24"/>
          <w:szCs w:val="24"/>
        </w:rPr>
        <w:t>di</w:t>
      </w:r>
      <w:r w:rsidR="00594053">
        <w:rPr>
          <w:sz w:val="24"/>
          <w:szCs w:val="24"/>
        </w:rPr>
        <w:t xml:space="preserve"> </w:t>
      </w:r>
      <w:r w:rsidR="00D90C1C">
        <w:rPr>
          <w:sz w:val="24"/>
          <w:szCs w:val="24"/>
        </w:rPr>
        <w:t>esercizio,</w:t>
      </w:r>
      <w:r w:rsidR="00594053">
        <w:rPr>
          <w:sz w:val="24"/>
          <w:szCs w:val="24"/>
        </w:rPr>
        <w:t xml:space="preserve"> </w:t>
      </w:r>
      <w:r w:rsidR="00D90C1C">
        <w:rPr>
          <w:sz w:val="24"/>
          <w:szCs w:val="24"/>
        </w:rPr>
        <w:t>un</w:t>
      </w:r>
      <w:r w:rsidR="00594053">
        <w:rPr>
          <w:sz w:val="24"/>
          <w:szCs w:val="24"/>
        </w:rPr>
        <w:t xml:space="preserve"> </w:t>
      </w:r>
      <w:r w:rsidR="00D90C1C">
        <w:rPr>
          <w:sz w:val="24"/>
          <w:szCs w:val="24"/>
        </w:rPr>
        <w:t>quadro</w:t>
      </w:r>
      <w:r w:rsidR="00594053">
        <w:rPr>
          <w:sz w:val="24"/>
          <w:szCs w:val="24"/>
        </w:rPr>
        <w:t xml:space="preserve"> </w:t>
      </w:r>
      <w:r w:rsidR="00D90C1C">
        <w:rPr>
          <w:sz w:val="24"/>
          <w:szCs w:val="24"/>
        </w:rPr>
        <w:t>complessivo</w:t>
      </w:r>
      <w:r w:rsidR="00594053">
        <w:rPr>
          <w:sz w:val="24"/>
          <w:szCs w:val="24"/>
        </w:rPr>
        <w:t xml:space="preserve"> </w:t>
      </w:r>
      <w:r w:rsidR="00D90C1C">
        <w:rPr>
          <w:sz w:val="24"/>
          <w:szCs w:val="24"/>
        </w:rPr>
        <w:t>della</w:t>
      </w:r>
      <w:r w:rsidR="00594053">
        <w:rPr>
          <w:sz w:val="24"/>
          <w:szCs w:val="24"/>
        </w:rPr>
        <w:t xml:space="preserve"> </w:t>
      </w:r>
      <w:r w:rsidR="00D90C1C">
        <w:rPr>
          <w:sz w:val="24"/>
          <w:szCs w:val="24"/>
        </w:rPr>
        <w:t>situazione</w:t>
      </w:r>
      <w:r w:rsidR="00594053">
        <w:rPr>
          <w:sz w:val="24"/>
          <w:szCs w:val="24"/>
        </w:rPr>
        <w:t xml:space="preserve"> </w:t>
      </w:r>
      <w:r w:rsidR="00D90C1C">
        <w:rPr>
          <w:sz w:val="24"/>
          <w:szCs w:val="24"/>
        </w:rPr>
        <w:t>economica,</w:t>
      </w:r>
      <w:r w:rsidR="00594053">
        <w:rPr>
          <w:sz w:val="24"/>
          <w:szCs w:val="24"/>
        </w:rPr>
        <w:t xml:space="preserve"> </w:t>
      </w:r>
      <w:r w:rsidR="00D90C1C">
        <w:rPr>
          <w:sz w:val="24"/>
          <w:szCs w:val="24"/>
        </w:rPr>
        <w:t>patrimoniale</w:t>
      </w:r>
      <w:r w:rsidR="00594053">
        <w:rPr>
          <w:sz w:val="24"/>
          <w:szCs w:val="24"/>
        </w:rPr>
        <w:t xml:space="preserve"> </w:t>
      </w:r>
      <w:r w:rsidR="00D90C1C">
        <w:rPr>
          <w:sz w:val="24"/>
          <w:szCs w:val="24"/>
        </w:rPr>
        <w:t>e</w:t>
      </w:r>
      <w:r w:rsidR="00594053">
        <w:rPr>
          <w:sz w:val="24"/>
          <w:szCs w:val="24"/>
        </w:rPr>
        <w:t xml:space="preserve"> </w:t>
      </w:r>
      <w:r w:rsidR="00D90C1C">
        <w:rPr>
          <w:sz w:val="24"/>
          <w:szCs w:val="24"/>
        </w:rPr>
        <w:t>finanziaria,</w:t>
      </w:r>
      <w:r w:rsidR="00594053">
        <w:rPr>
          <w:sz w:val="24"/>
          <w:szCs w:val="24"/>
        </w:rPr>
        <w:t xml:space="preserve"> </w:t>
      </w:r>
      <w:r w:rsidR="00D90C1C">
        <w:rPr>
          <w:sz w:val="24"/>
          <w:szCs w:val="24"/>
        </w:rPr>
        <w:t>utilizzando</w:t>
      </w:r>
      <w:r w:rsidR="00594053">
        <w:rPr>
          <w:sz w:val="24"/>
          <w:szCs w:val="24"/>
        </w:rPr>
        <w:t xml:space="preserve"> </w:t>
      </w:r>
      <w:r w:rsidR="00D90C1C">
        <w:rPr>
          <w:sz w:val="24"/>
          <w:szCs w:val="24"/>
        </w:rPr>
        <w:t>i</w:t>
      </w:r>
      <w:r w:rsidR="00594053">
        <w:rPr>
          <w:sz w:val="24"/>
          <w:szCs w:val="24"/>
        </w:rPr>
        <w:t xml:space="preserve"> </w:t>
      </w:r>
      <w:r w:rsidR="00D90C1C">
        <w:rPr>
          <w:sz w:val="24"/>
          <w:szCs w:val="24"/>
        </w:rPr>
        <w:t>criteri</w:t>
      </w:r>
      <w:r w:rsidR="00594053">
        <w:rPr>
          <w:sz w:val="24"/>
          <w:szCs w:val="24"/>
        </w:rPr>
        <w:t xml:space="preserve"> </w:t>
      </w:r>
      <w:r w:rsidR="00D90C1C">
        <w:rPr>
          <w:sz w:val="24"/>
          <w:szCs w:val="24"/>
        </w:rPr>
        <w:t>di</w:t>
      </w:r>
      <w:r w:rsidR="00594053">
        <w:rPr>
          <w:sz w:val="24"/>
          <w:szCs w:val="24"/>
        </w:rPr>
        <w:t xml:space="preserve"> </w:t>
      </w:r>
      <w:r w:rsidR="00D90C1C">
        <w:rPr>
          <w:sz w:val="24"/>
          <w:szCs w:val="24"/>
        </w:rPr>
        <w:t>iscrizione</w:t>
      </w:r>
      <w:r w:rsidR="00594053">
        <w:rPr>
          <w:sz w:val="24"/>
          <w:szCs w:val="24"/>
        </w:rPr>
        <w:t xml:space="preserve"> </w:t>
      </w:r>
      <w:r w:rsidR="00D90C1C">
        <w:rPr>
          <w:sz w:val="24"/>
          <w:szCs w:val="24"/>
        </w:rPr>
        <w:t>e</w:t>
      </w:r>
      <w:r w:rsidR="00594053">
        <w:rPr>
          <w:sz w:val="24"/>
          <w:szCs w:val="24"/>
        </w:rPr>
        <w:t xml:space="preserve"> </w:t>
      </w:r>
      <w:r w:rsidR="00D90C1C">
        <w:rPr>
          <w:sz w:val="24"/>
          <w:szCs w:val="24"/>
        </w:rPr>
        <w:t>valutazione</w:t>
      </w:r>
      <w:r w:rsidR="00594053">
        <w:rPr>
          <w:sz w:val="24"/>
          <w:szCs w:val="24"/>
        </w:rPr>
        <w:t xml:space="preserve"> </w:t>
      </w:r>
      <w:r w:rsidR="00D90C1C">
        <w:rPr>
          <w:sz w:val="24"/>
          <w:szCs w:val="24"/>
        </w:rPr>
        <w:t>previsti</w:t>
      </w:r>
      <w:r w:rsidR="00594053">
        <w:rPr>
          <w:sz w:val="24"/>
          <w:szCs w:val="24"/>
        </w:rPr>
        <w:t xml:space="preserve"> </w:t>
      </w:r>
      <w:r w:rsidR="00D90C1C">
        <w:rPr>
          <w:sz w:val="24"/>
          <w:szCs w:val="24"/>
        </w:rPr>
        <w:t>dai</w:t>
      </w:r>
      <w:r w:rsidR="00594053">
        <w:rPr>
          <w:sz w:val="24"/>
          <w:szCs w:val="24"/>
        </w:rPr>
        <w:t xml:space="preserve"> </w:t>
      </w:r>
      <w:r w:rsidR="00D90C1C">
        <w:rPr>
          <w:sz w:val="24"/>
          <w:szCs w:val="24"/>
        </w:rPr>
        <w:t>principi</w:t>
      </w:r>
      <w:r w:rsidR="00594053">
        <w:rPr>
          <w:sz w:val="24"/>
          <w:szCs w:val="24"/>
        </w:rPr>
        <w:t xml:space="preserve"> </w:t>
      </w:r>
      <w:r w:rsidR="00D90C1C">
        <w:rPr>
          <w:sz w:val="24"/>
          <w:szCs w:val="24"/>
        </w:rPr>
        <w:t>contabili</w:t>
      </w:r>
      <w:r w:rsidR="00594053">
        <w:rPr>
          <w:sz w:val="24"/>
          <w:szCs w:val="24"/>
        </w:rPr>
        <w:t xml:space="preserve"> </w:t>
      </w:r>
      <w:r w:rsidR="00D90C1C">
        <w:rPr>
          <w:sz w:val="24"/>
          <w:szCs w:val="24"/>
        </w:rPr>
        <w:t>nazionali</w:t>
      </w:r>
      <w:r w:rsidR="00594053">
        <w:rPr>
          <w:sz w:val="24"/>
          <w:szCs w:val="24"/>
        </w:rPr>
        <w:t xml:space="preserve"> </w:t>
      </w:r>
      <w:r w:rsidR="00D90C1C">
        <w:rPr>
          <w:sz w:val="24"/>
          <w:szCs w:val="24"/>
        </w:rPr>
        <w:t>formulati</w:t>
      </w:r>
      <w:r w:rsidR="00594053">
        <w:rPr>
          <w:sz w:val="24"/>
          <w:szCs w:val="24"/>
        </w:rPr>
        <w:t xml:space="preserve"> </w:t>
      </w:r>
      <w:r w:rsidR="00D90C1C">
        <w:rPr>
          <w:sz w:val="24"/>
          <w:szCs w:val="24"/>
        </w:rPr>
        <w:t>dall’Organismo</w:t>
      </w:r>
      <w:r w:rsidR="00594053">
        <w:rPr>
          <w:sz w:val="24"/>
          <w:szCs w:val="24"/>
        </w:rPr>
        <w:t xml:space="preserve"> </w:t>
      </w:r>
      <w:r w:rsidR="00D90C1C">
        <w:rPr>
          <w:sz w:val="24"/>
          <w:szCs w:val="24"/>
        </w:rPr>
        <w:t>Italiano</w:t>
      </w:r>
      <w:r w:rsidR="00594053">
        <w:rPr>
          <w:sz w:val="24"/>
          <w:szCs w:val="24"/>
        </w:rPr>
        <w:t xml:space="preserve"> </w:t>
      </w:r>
      <w:r w:rsidR="00D90C1C">
        <w:rPr>
          <w:sz w:val="24"/>
          <w:szCs w:val="24"/>
        </w:rPr>
        <w:t>di</w:t>
      </w:r>
      <w:r w:rsidR="00594053">
        <w:rPr>
          <w:sz w:val="24"/>
          <w:szCs w:val="24"/>
        </w:rPr>
        <w:t xml:space="preserve"> </w:t>
      </w:r>
      <w:r w:rsidR="00D90C1C">
        <w:rPr>
          <w:sz w:val="24"/>
          <w:szCs w:val="24"/>
        </w:rPr>
        <w:t>Contabilità.</w:t>
      </w:r>
    </w:p>
    <w:p w:rsidR="00D90C1C" w:rsidRDefault="00D90C1C" w:rsidP="00BD5861">
      <w:pPr>
        <w:ind w:firstLine="708"/>
        <w:jc w:val="both"/>
        <w:rPr>
          <w:sz w:val="24"/>
          <w:szCs w:val="24"/>
        </w:rPr>
      </w:pPr>
    </w:p>
    <w:p w:rsidR="00D90C1C" w:rsidRDefault="00D90C1C" w:rsidP="00D90C1C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In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particolare,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gli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artt.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ss.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Regolamento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disciplinano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come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segue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modalità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predisposizione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approvazione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dei</w:t>
      </w:r>
      <w:r w:rsidR="00594053">
        <w:rPr>
          <w:sz w:val="24"/>
          <w:szCs w:val="24"/>
        </w:rPr>
        <w:t xml:space="preserve"> </w:t>
      </w:r>
      <w:r w:rsidRPr="002E2A94">
        <w:rPr>
          <w:sz w:val="24"/>
          <w:szCs w:val="24"/>
        </w:rPr>
        <w:t>documenti</w:t>
      </w:r>
      <w:r w:rsidR="00594053">
        <w:rPr>
          <w:sz w:val="24"/>
          <w:szCs w:val="24"/>
        </w:rPr>
        <w:t xml:space="preserve"> </w:t>
      </w:r>
      <w:r w:rsidR="00E27E9A" w:rsidRPr="002E2A94">
        <w:rPr>
          <w:sz w:val="24"/>
          <w:szCs w:val="24"/>
        </w:rPr>
        <w:t>p</w:t>
      </w:r>
      <w:r w:rsidRPr="002E2A94">
        <w:rPr>
          <w:sz w:val="24"/>
          <w:szCs w:val="24"/>
        </w:rPr>
        <w:t>revisionali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costituenti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Budget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annuale:</w:t>
      </w:r>
      <w:r w:rsidR="00594053">
        <w:rPr>
          <w:sz w:val="24"/>
          <w:szCs w:val="24"/>
        </w:rPr>
        <w:t xml:space="preserve"> </w:t>
      </w:r>
    </w:p>
    <w:p w:rsidR="007C720C" w:rsidRDefault="007C720C" w:rsidP="00D90C1C">
      <w:pPr>
        <w:ind w:firstLine="360"/>
        <w:jc w:val="both"/>
        <w:rPr>
          <w:sz w:val="24"/>
          <w:szCs w:val="24"/>
        </w:rPr>
      </w:pPr>
    </w:p>
    <w:p w:rsidR="00D90C1C" w:rsidRDefault="00D90C1C" w:rsidP="00D90C1C">
      <w:pPr>
        <w:numPr>
          <w:ilvl w:val="0"/>
          <w:numId w:val="1"/>
        </w:numPr>
        <w:tabs>
          <w:tab w:val="clear" w:pos="1485"/>
          <w:tab w:val="num" w:pos="720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Budget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economico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generale,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dove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vengono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poste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confronto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previsioni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economiche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l’esercizio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 w:rsidR="00D672CF">
        <w:rPr>
          <w:sz w:val="24"/>
          <w:szCs w:val="24"/>
        </w:rPr>
        <w:t>9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rispetto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alle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previsioni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 w:rsidR="00D672CF">
        <w:rPr>
          <w:sz w:val="24"/>
          <w:szCs w:val="24"/>
        </w:rPr>
        <w:t>8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assestate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alla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data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presentazione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budget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 w:rsidR="00D672CF">
        <w:rPr>
          <w:sz w:val="24"/>
          <w:szCs w:val="24"/>
        </w:rPr>
        <w:t>9</w:t>
      </w:r>
      <w:r>
        <w:rPr>
          <w:sz w:val="24"/>
          <w:szCs w:val="24"/>
        </w:rPr>
        <w:t>,</w:t>
      </w:r>
      <w:r w:rsidR="00594053">
        <w:rPr>
          <w:sz w:val="24"/>
          <w:szCs w:val="24"/>
        </w:rPr>
        <w:t xml:space="preserve">  </w:t>
      </w:r>
      <w:r>
        <w:rPr>
          <w:sz w:val="24"/>
          <w:szCs w:val="24"/>
        </w:rPr>
        <w:t>nonché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ai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dati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dell’ultimo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bilancio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consuntivo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approvato,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relativo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all’esercizio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BC32F1">
        <w:rPr>
          <w:sz w:val="24"/>
          <w:szCs w:val="24"/>
        </w:rPr>
        <w:t>1</w:t>
      </w:r>
      <w:r w:rsidR="00D672CF">
        <w:rPr>
          <w:sz w:val="24"/>
          <w:szCs w:val="24"/>
        </w:rPr>
        <w:t>7</w:t>
      </w:r>
      <w:r w:rsidR="007C720C">
        <w:rPr>
          <w:sz w:val="24"/>
          <w:szCs w:val="24"/>
        </w:rPr>
        <w:t>;</w:t>
      </w:r>
    </w:p>
    <w:p w:rsidR="007C720C" w:rsidRDefault="007C720C" w:rsidP="007C720C">
      <w:pPr>
        <w:ind w:left="720"/>
        <w:jc w:val="both"/>
        <w:rPr>
          <w:sz w:val="24"/>
          <w:szCs w:val="24"/>
        </w:rPr>
      </w:pPr>
    </w:p>
    <w:p w:rsidR="00D90C1C" w:rsidRDefault="00D90C1C" w:rsidP="00D90C1C">
      <w:pPr>
        <w:numPr>
          <w:ilvl w:val="0"/>
          <w:numId w:val="1"/>
        </w:numPr>
        <w:tabs>
          <w:tab w:val="clear" w:pos="1485"/>
          <w:tab w:val="num" w:pos="720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Budget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degli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investimenti/dismissioni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generale,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quale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rappresenta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gli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effetti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patrimoniali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derivanti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dai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processi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acquisizione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e/o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dismissione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immobilizzazioni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l’esercizio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 w:rsidR="00D672CF">
        <w:rPr>
          <w:sz w:val="24"/>
          <w:szCs w:val="24"/>
        </w:rPr>
        <w:t>9</w:t>
      </w:r>
      <w:r>
        <w:rPr>
          <w:sz w:val="24"/>
          <w:szCs w:val="24"/>
        </w:rPr>
        <w:t>.</w:t>
      </w:r>
    </w:p>
    <w:p w:rsidR="00D90C1C" w:rsidRDefault="00D90C1C" w:rsidP="00D90C1C">
      <w:pPr>
        <w:ind w:left="360"/>
        <w:jc w:val="both"/>
        <w:rPr>
          <w:sz w:val="24"/>
          <w:szCs w:val="24"/>
        </w:rPr>
      </w:pPr>
    </w:p>
    <w:p w:rsidR="00D90C1C" w:rsidRDefault="00D90C1C" w:rsidP="00D90C1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Sono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allegati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Budget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annuale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Budget</w:t>
      </w:r>
      <w:r w:rsidR="00594053">
        <w:rPr>
          <w:sz w:val="24"/>
          <w:szCs w:val="24"/>
        </w:rPr>
        <w:t xml:space="preserve"> </w:t>
      </w:r>
      <w:r w:rsidR="00727F15">
        <w:rPr>
          <w:sz w:val="24"/>
          <w:szCs w:val="24"/>
        </w:rPr>
        <w:t xml:space="preserve">degli Investimenti/Dismissioni, </w:t>
      </w:r>
      <w:r w:rsidR="00126BDF">
        <w:rPr>
          <w:sz w:val="24"/>
          <w:szCs w:val="24"/>
        </w:rPr>
        <w:t xml:space="preserve">il Budget </w:t>
      </w:r>
      <w:r w:rsidR="00727F15">
        <w:rPr>
          <w:sz w:val="24"/>
          <w:szCs w:val="24"/>
        </w:rPr>
        <w:t xml:space="preserve">annuale e triennale riclassificati, il </w:t>
      </w:r>
      <w:r w:rsidR="00126BDF">
        <w:rPr>
          <w:sz w:val="24"/>
          <w:szCs w:val="24"/>
        </w:rPr>
        <w:t>P</w:t>
      </w:r>
      <w:r w:rsidR="00727F15">
        <w:rPr>
          <w:sz w:val="24"/>
          <w:szCs w:val="24"/>
        </w:rPr>
        <w:t xml:space="preserve">iano degli indicatori e dei risultati di bilancio e </w:t>
      </w:r>
      <w:smartTag w:uri="urn:schemas-microsoft-com:office:smarttags" w:element="PersonName">
        <w:smartTagPr>
          <w:attr w:name="ProductID" w:val="la Relazione"/>
        </w:smartTagPr>
        <w:r>
          <w:rPr>
            <w:sz w:val="24"/>
            <w:szCs w:val="24"/>
          </w:rPr>
          <w:t>la</w:t>
        </w:r>
        <w:r w:rsidR="00594053">
          <w:rPr>
            <w:sz w:val="24"/>
            <w:szCs w:val="24"/>
          </w:rPr>
          <w:t xml:space="preserve"> </w:t>
        </w:r>
        <w:r>
          <w:rPr>
            <w:sz w:val="24"/>
            <w:szCs w:val="24"/>
          </w:rPr>
          <w:t>Relazione</w:t>
        </w:r>
      </w:smartTag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Presidente</w:t>
      </w:r>
      <w:r w:rsidR="00727F15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:rsidR="005233A4" w:rsidRDefault="005233A4" w:rsidP="00D90C1C">
      <w:pPr>
        <w:ind w:left="360"/>
        <w:jc w:val="both"/>
        <w:rPr>
          <w:sz w:val="24"/>
          <w:szCs w:val="24"/>
        </w:rPr>
      </w:pPr>
    </w:p>
    <w:p w:rsidR="005233A4" w:rsidRPr="005233A4" w:rsidRDefault="005233A4" w:rsidP="005233A4">
      <w:pPr>
        <w:jc w:val="both"/>
        <w:rPr>
          <w:rStyle w:val="Enfasigrassetto"/>
          <w:b w:val="0"/>
          <w:sz w:val="24"/>
          <w:szCs w:val="24"/>
        </w:rPr>
      </w:pPr>
      <w:r>
        <w:rPr>
          <w:rStyle w:val="Enfasigrassetto"/>
          <w:b w:val="0"/>
          <w:sz w:val="24"/>
          <w:szCs w:val="24"/>
        </w:rPr>
        <w:t xml:space="preserve">      </w:t>
      </w:r>
      <w:r w:rsidRPr="005233A4">
        <w:rPr>
          <w:rStyle w:val="Enfasigrassetto"/>
          <w:b w:val="0"/>
          <w:sz w:val="24"/>
          <w:szCs w:val="24"/>
        </w:rPr>
        <w:t>Si segnala inoltre che si è provveduto ad adeguare gli schemi contabili come richiesto dal Decreto Legislativo n.139/2015 che ha attuato la Direttiva 2013/34/UE (</w:t>
      </w:r>
      <w:proofErr w:type="spellStart"/>
      <w:r w:rsidRPr="005233A4">
        <w:rPr>
          <w:rStyle w:val="Enfasigrassetto"/>
          <w:b w:val="0"/>
          <w:sz w:val="24"/>
          <w:szCs w:val="24"/>
        </w:rPr>
        <w:t>Rif.Prot</w:t>
      </w:r>
      <w:proofErr w:type="spellEnd"/>
      <w:r w:rsidRPr="005233A4">
        <w:rPr>
          <w:rStyle w:val="Enfasigrassetto"/>
          <w:b w:val="0"/>
          <w:sz w:val="24"/>
          <w:szCs w:val="24"/>
        </w:rPr>
        <w:t>.111111/16 del 14/10/2016 DAF).</w:t>
      </w:r>
    </w:p>
    <w:p w:rsidR="005233A4" w:rsidRDefault="005233A4" w:rsidP="00D90C1C">
      <w:pPr>
        <w:ind w:left="360"/>
        <w:jc w:val="both"/>
        <w:rPr>
          <w:sz w:val="24"/>
          <w:szCs w:val="24"/>
        </w:rPr>
      </w:pPr>
    </w:p>
    <w:p w:rsidR="004F2BED" w:rsidRDefault="004F2BED" w:rsidP="00D90C1C">
      <w:pPr>
        <w:ind w:left="360"/>
        <w:jc w:val="both"/>
        <w:rPr>
          <w:sz w:val="24"/>
          <w:szCs w:val="24"/>
        </w:rPr>
      </w:pPr>
    </w:p>
    <w:p w:rsidR="007C720C" w:rsidRDefault="007C720C" w:rsidP="00D90C1C">
      <w:pPr>
        <w:ind w:left="360"/>
        <w:jc w:val="both"/>
        <w:rPr>
          <w:sz w:val="24"/>
          <w:szCs w:val="24"/>
        </w:rPr>
      </w:pPr>
    </w:p>
    <w:p w:rsidR="002B7A76" w:rsidRDefault="00292F83" w:rsidP="00292F83">
      <w:pPr>
        <w:tabs>
          <w:tab w:val="left" w:pos="4455"/>
        </w:tabs>
        <w:ind w:firstLine="360"/>
        <w:jc w:val="center"/>
        <w:rPr>
          <w:sz w:val="24"/>
          <w:szCs w:val="24"/>
        </w:rPr>
      </w:pPr>
      <w:r>
        <w:rPr>
          <w:sz w:val="24"/>
          <w:szCs w:val="24"/>
        </w:rPr>
        <w:t>*</w:t>
      </w:r>
      <w:r w:rsidR="00594053">
        <w:rPr>
          <w:sz w:val="24"/>
          <w:szCs w:val="24"/>
        </w:rPr>
        <w:t xml:space="preserve">    </w:t>
      </w:r>
      <w:r>
        <w:rPr>
          <w:sz w:val="24"/>
          <w:szCs w:val="24"/>
        </w:rPr>
        <w:t>*</w:t>
      </w:r>
      <w:r w:rsidR="00594053">
        <w:rPr>
          <w:sz w:val="24"/>
          <w:szCs w:val="24"/>
        </w:rPr>
        <w:t xml:space="preserve">    </w:t>
      </w:r>
      <w:r>
        <w:rPr>
          <w:sz w:val="24"/>
          <w:szCs w:val="24"/>
        </w:rPr>
        <w:t>*</w:t>
      </w:r>
    </w:p>
    <w:p w:rsidR="007C720C" w:rsidRDefault="007C720C" w:rsidP="00292F83">
      <w:pPr>
        <w:tabs>
          <w:tab w:val="left" w:pos="4455"/>
        </w:tabs>
        <w:ind w:firstLine="360"/>
        <w:jc w:val="center"/>
        <w:rPr>
          <w:sz w:val="24"/>
          <w:szCs w:val="24"/>
        </w:rPr>
      </w:pPr>
    </w:p>
    <w:p w:rsidR="007C720C" w:rsidRDefault="007C720C" w:rsidP="00292F83">
      <w:pPr>
        <w:tabs>
          <w:tab w:val="left" w:pos="4455"/>
        </w:tabs>
        <w:ind w:firstLine="360"/>
        <w:jc w:val="center"/>
        <w:rPr>
          <w:sz w:val="24"/>
          <w:szCs w:val="24"/>
        </w:rPr>
      </w:pPr>
    </w:p>
    <w:p w:rsidR="007C720C" w:rsidRDefault="007C720C" w:rsidP="00292F83">
      <w:pPr>
        <w:tabs>
          <w:tab w:val="left" w:pos="4455"/>
        </w:tabs>
        <w:ind w:firstLine="360"/>
        <w:jc w:val="center"/>
        <w:rPr>
          <w:sz w:val="24"/>
          <w:szCs w:val="24"/>
        </w:rPr>
      </w:pPr>
    </w:p>
    <w:p w:rsidR="001D4E42" w:rsidRDefault="001D4E42" w:rsidP="004C687F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Il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Budget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economico,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redatto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nel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seguente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prospetto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forma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scalare,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ricalca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essenzialmente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schema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previsto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dall’art.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2425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codice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civile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contiene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previsioni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ricavi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costi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formulati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base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postulato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della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competenza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economica,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cui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classificazione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tiene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conto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della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loro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natura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della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loro</w:t>
      </w:r>
      <w:r w:rsidR="00594053">
        <w:rPr>
          <w:sz w:val="24"/>
          <w:szCs w:val="24"/>
        </w:rPr>
        <w:t xml:space="preserve"> </w:t>
      </w:r>
      <w:r>
        <w:rPr>
          <w:sz w:val="24"/>
          <w:szCs w:val="24"/>
        </w:rPr>
        <w:t>tipologia.</w:t>
      </w:r>
    </w:p>
    <w:p w:rsidR="007C720C" w:rsidRDefault="007C720C" w:rsidP="004C687F">
      <w:pPr>
        <w:ind w:firstLine="360"/>
        <w:jc w:val="both"/>
        <w:rPr>
          <w:sz w:val="24"/>
          <w:szCs w:val="24"/>
        </w:rPr>
      </w:pPr>
    </w:p>
    <w:p w:rsidR="007C720C" w:rsidRDefault="007C720C" w:rsidP="004C687F">
      <w:pPr>
        <w:ind w:firstLine="360"/>
        <w:jc w:val="both"/>
        <w:rPr>
          <w:sz w:val="24"/>
          <w:szCs w:val="24"/>
        </w:rPr>
      </w:pPr>
    </w:p>
    <w:p w:rsidR="007C720C" w:rsidRDefault="007C720C" w:rsidP="004C687F">
      <w:pPr>
        <w:ind w:firstLine="360"/>
        <w:jc w:val="both"/>
        <w:rPr>
          <w:sz w:val="24"/>
          <w:szCs w:val="24"/>
        </w:rPr>
      </w:pPr>
    </w:p>
    <w:p w:rsidR="007C720C" w:rsidRDefault="007C720C" w:rsidP="004C687F">
      <w:pPr>
        <w:ind w:firstLine="360"/>
        <w:jc w:val="both"/>
        <w:rPr>
          <w:sz w:val="24"/>
          <w:szCs w:val="24"/>
        </w:rPr>
      </w:pPr>
    </w:p>
    <w:tbl>
      <w:tblPr>
        <w:tblW w:w="9720" w:type="dxa"/>
        <w:tblInd w:w="108" w:type="dxa"/>
        <w:tblLayout w:type="fixed"/>
        <w:tblLook w:val="0000"/>
      </w:tblPr>
      <w:tblGrid>
        <w:gridCol w:w="1980"/>
        <w:gridCol w:w="1800"/>
        <w:gridCol w:w="2205"/>
        <w:gridCol w:w="1935"/>
        <w:gridCol w:w="1800"/>
      </w:tblGrid>
      <w:tr w:rsidR="001703D9" w:rsidRPr="006A68AF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3D9" w:rsidRPr="001703D9" w:rsidRDefault="001703D9" w:rsidP="001703D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703D9">
              <w:rPr>
                <w:b/>
                <w:sz w:val="22"/>
                <w:szCs w:val="22"/>
              </w:rPr>
              <w:lastRenderedPageBreak/>
              <w:t>BUGDET</w:t>
            </w:r>
          </w:p>
          <w:p w:rsidR="001703D9" w:rsidRPr="001703D9" w:rsidRDefault="001703D9" w:rsidP="001703D9">
            <w:pPr>
              <w:jc w:val="center"/>
              <w:rPr>
                <w:b/>
                <w:sz w:val="22"/>
                <w:szCs w:val="22"/>
              </w:rPr>
            </w:pPr>
            <w:r w:rsidRPr="001703D9">
              <w:rPr>
                <w:b/>
                <w:sz w:val="22"/>
                <w:szCs w:val="22"/>
              </w:rPr>
              <w:t>ECONOMICO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3D9" w:rsidRPr="001703D9" w:rsidRDefault="001703D9" w:rsidP="001703D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703D9">
              <w:rPr>
                <w:b/>
                <w:sz w:val="22"/>
                <w:szCs w:val="22"/>
              </w:rPr>
              <w:t>CONSUNTIVO</w:t>
            </w:r>
          </w:p>
          <w:p w:rsidR="001703D9" w:rsidRPr="001703D9" w:rsidRDefault="00DA465A" w:rsidP="00D672CF">
            <w:pPr>
              <w:ind w:hanging="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D672CF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3D9" w:rsidRPr="001703D9" w:rsidRDefault="001703D9" w:rsidP="001703D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703D9">
              <w:rPr>
                <w:b/>
                <w:sz w:val="22"/>
                <w:szCs w:val="22"/>
              </w:rPr>
              <w:t>B.</w:t>
            </w:r>
            <w:r w:rsidR="00594053">
              <w:rPr>
                <w:b/>
                <w:sz w:val="22"/>
                <w:szCs w:val="22"/>
              </w:rPr>
              <w:t xml:space="preserve"> </w:t>
            </w:r>
            <w:r w:rsidRPr="001703D9">
              <w:rPr>
                <w:b/>
                <w:sz w:val="22"/>
                <w:szCs w:val="22"/>
              </w:rPr>
              <w:t>ECONOMICO</w:t>
            </w:r>
          </w:p>
          <w:p w:rsidR="001703D9" w:rsidRPr="001703D9" w:rsidRDefault="001703D9" w:rsidP="001703D9">
            <w:pPr>
              <w:jc w:val="center"/>
              <w:rPr>
                <w:b/>
                <w:sz w:val="22"/>
                <w:szCs w:val="22"/>
              </w:rPr>
            </w:pPr>
            <w:r w:rsidRPr="001703D9">
              <w:rPr>
                <w:b/>
                <w:sz w:val="22"/>
                <w:szCs w:val="22"/>
              </w:rPr>
              <w:t>ASSESTATO</w:t>
            </w:r>
            <w:r w:rsidR="00594053">
              <w:rPr>
                <w:b/>
                <w:sz w:val="22"/>
                <w:szCs w:val="22"/>
              </w:rPr>
              <w:t xml:space="preserve"> </w:t>
            </w:r>
            <w:r w:rsidRPr="001703D9">
              <w:rPr>
                <w:b/>
                <w:sz w:val="22"/>
                <w:szCs w:val="22"/>
              </w:rPr>
              <w:t>201</w:t>
            </w:r>
            <w:r w:rsidR="00D672CF">
              <w:rPr>
                <w:b/>
                <w:sz w:val="22"/>
                <w:szCs w:val="22"/>
              </w:rPr>
              <w:t>8</w:t>
            </w:r>
          </w:p>
          <w:p w:rsidR="001703D9" w:rsidRPr="001703D9" w:rsidRDefault="001703D9" w:rsidP="001703D9">
            <w:pPr>
              <w:jc w:val="center"/>
              <w:rPr>
                <w:b/>
                <w:sz w:val="22"/>
                <w:szCs w:val="22"/>
              </w:rPr>
            </w:pPr>
            <w:r w:rsidRPr="001703D9">
              <w:rPr>
                <w:b/>
                <w:sz w:val="22"/>
                <w:szCs w:val="22"/>
              </w:rPr>
              <w:t>(B)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3D9" w:rsidRPr="001703D9" w:rsidRDefault="001703D9" w:rsidP="001703D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703D9">
              <w:rPr>
                <w:b/>
                <w:sz w:val="22"/>
                <w:szCs w:val="22"/>
              </w:rPr>
              <w:t>BUDGET</w:t>
            </w:r>
          </w:p>
          <w:p w:rsidR="001703D9" w:rsidRPr="001703D9" w:rsidRDefault="001703D9" w:rsidP="001703D9">
            <w:pPr>
              <w:jc w:val="center"/>
              <w:rPr>
                <w:b/>
                <w:sz w:val="22"/>
                <w:szCs w:val="22"/>
              </w:rPr>
            </w:pPr>
            <w:r w:rsidRPr="001703D9">
              <w:rPr>
                <w:b/>
                <w:sz w:val="22"/>
                <w:szCs w:val="22"/>
              </w:rPr>
              <w:t>ESERCIZIO</w:t>
            </w:r>
            <w:r w:rsidR="00594053">
              <w:rPr>
                <w:b/>
                <w:sz w:val="22"/>
                <w:szCs w:val="22"/>
              </w:rPr>
              <w:t xml:space="preserve"> </w:t>
            </w:r>
            <w:r w:rsidRPr="001703D9">
              <w:rPr>
                <w:b/>
                <w:sz w:val="22"/>
                <w:szCs w:val="22"/>
              </w:rPr>
              <w:t>201</w:t>
            </w:r>
            <w:r w:rsidR="00D672CF">
              <w:rPr>
                <w:b/>
                <w:sz w:val="22"/>
                <w:szCs w:val="22"/>
              </w:rPr>
              <w:t>9</w:t>
            </w:r>
          </w:p>
          <w:p w:rsidR="001703D9" w:rsidRPr="001703D9" w:rsidRDefault="001703D9" w:rsidP="001703D9">
            <w:pPr>
              <w:jc w:val="center"/>
              <w:rPr>
                <w:b/>
                <w:sz w:val="22"/>
                <w:szCs w:val="22"/>
              </w:rPr>
            </w:pPr>
            <w:r w:rsidRPr="001703D9">
              <w:rPr>
                <w:b/>
                <w:sz w:val="22"/>
                <w:szCs w:val="22"/>
              </w:rPr>
              <w:t>(C)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D9" w:rsidRPr="001703D9" w:rsidRDefault="001703D9" w:rsidP="001703D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703D9">
              <w:rPr>
                <w:b/>
                <w:sz w:val="22"/>
                <w:szCs w:val="22"/>
              </w:rPr>
              <w:t>DIFFERENZA</w:t>
            </w:r>
          </w:p>
          <w:p w:rsidR="001703D9" w:rsidRPr="001703D9" w:rsidRDefault="001703D9" w:rsidP="001703D9">
            <w:pPr>
              <w:jc w:val="center"/>
              <w:rPr>
                <w:b/>
                <w:sz w:val="22"/>
                <w:szCs w:val="22"/>
              </w:rPr>
            </w:pPr>
            <w:r w:rsidRPr="001703D9">
              <w:rPr>
                <w:b/>
                <w:sz w:val="22"/>
                <w:szCs w:val="22"/>
              </w:rPr>
              <w:t>D</w:t>
            </w:r>
            <w:r w:rsidR="00594053">
              <w:rPr>
                <w:b/>
                <w:sz w:val="22"/>
                <w:szCs w:val="22"/>
              </w:rPr>
              <w:t xml:space="preserve"> </w:t>
            </w:r>
            <w:r w:rsidRPr="001703D9">
              <w:rPr>
                <w:b/>
                <w:sz w:val="22"/>
                <w:szCs w:val="22"/>
              </w:rPr>
              <w:t>=</w:t>
            </w:r>
            <w:r w:rsidR="00594053">
              <w:rPr>
                <w:b/>
                <w:sz w:val="22"/>
                <w:szCs w:val="22"/>
              </w:rPr>
              <w:t xml:space="preserve"> </w:t>
            </w:r>
            <w:r w:rsidRPr="001703D9">
              <w:rPr>
                <w:b/>
                <w:sz w:val="22"/>
                <w:szCs w:val="22"/>
              </w:rPr>
              <w:t>C</w:t>
            </w:r>
            <w:r w:rsidR="00594053">
              <w:rPr>
                <w:b/>
                <w:sz w:val="22"/>
                <w:szCs w:val="22"/>
              </w:rPr>
              <w:t xml:space="preserve"> </w:t>
            </w:r>
            <w:r w:rsidRPr="001703D9">
              <w:rPr>
                <w:b/>
                <w:sz w:val="22"/>
                <w:szCs w:val="22"/>
              </w:rPr>
              <w:t>-</w:t>
            </w:r>
            <w:r w:rsidR="00594053">
              <w:rPr>
                <w:b/>
                <w:sz w:val="22"/>
                <w:szCs w:val="22"/>
              </w:rPr>
              <w:t xml:space="preserve"> </w:t>
            </w:r>
            <w:r w:rsidRPr="001703D9">
              <w:rPr>
                <w:b/>
                <w:sz w:val="22"/>
                <w:szCs w:val="22"/>
              </w:rPr>
              <w:t>B</w:t>
            </w:r>
          </w:p>
        </w:tc>
      </w:tr>
      <w:tr w:rsidR="003365F6" w:rsidRPr="006A68AF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5F6" w:rsidRPr="001703D9" w:rsidRDefault="003365F6" w:rsidP="001703D9">
            <w:pPr>
              <w:snapToGrid w:val="0"/>
              <w:jc w:val="center"/>
              <w:rPr>
                <w:sz w:val="22"/>
                <w:szCs w:val="22"/>
              </w:rPr>
            </w:pPr>
            <w:r w:rsidRPr="001703D9">
              <w:rPr>
                <w:sz w:val="22"/>
                <w:szCs w:val="22"/>
              </w:rPr>
              <w:t>Totale</w:t>
            </w:r>
            <w:r>
              <w:rPr>
                <w:sz w:val="22"/>
                <w:szCs w:val="22"/>
              </w:rPr>
              <w:t xml:space="preserve"> </w:t>
            </w:r>
            <w:r w:rsidRPr="001703D9">
              <w:rPr>
                <w:sz w:val="22"/>
                <w:szCs w:val="22"/>
              </w:rPr>
              <w:t>valore</w:t>
            </w:r>
            <w:r>
              <w:rPr>
                <w:sz w:val="22"/>
                <w:szCs w:val="22"/>
              </w:rPr>
              <w:t xml:space="preserve"> </w:t>
            </w:r>
            <w:r w:rsidRPr="001703D9">
              <w:rPr>
                <w:sz w:val="22"/>
                <w:szCs w:val="22"/>
              </w:rPr>
              <w:t>della</w:t>
            </w:r>
            <w:r>
              <w:rPr>
                <w:sz w:val="22"/>
                <w:szCs w:val="22"/>
              </w:rPr>
              <w:t xml:space="preserve"> </w:t>
            </w:r>
            <w:r w:rsidRPr="001703D9">
              <w:rPr>
                <w:sz w:val="22"/>
                <w:szCs w:val="22"/>
              </w:rPr>
              <w:t>produzione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5F6" w:rsidRPr="005332F0" w:rsidRDefault="00F3640D" w:rsidP="00B6165C">
            <w:pPr>
              <w:tabs>
                <w:tab w:val="left" w:pos="390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1.019.563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5F6" w:rsidRPr="005332F0" w:rsidRDefault="00F3640D" w:rsidP="00B6165C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980.050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5F6" w:rsidRPr="005332F0" w:rsidRDefault="00F3640D" w:rsidP="0000671C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974.000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F6" w:rsidRPr="005332F0" w:rsidRDefault="00F3640D" w:rsidP="00585083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 6.050</w:t>
            </w:r>
          </w:p>
        </w:tc>
      </w:tr>
      <w:tr w:rsidR="003365F6" w:rsidRPr="006A68AF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5F6" w:rsidRPr="001703D9" w:rsidRDefault="003365F6" w:rsidP="001703D9">
            <w:pPr>
              <w:snapToGrid w:val="0"/>
              <w:jc w:val="center"/>
              <w:rPr>
                <w:sz w:val="22"/>
                <w:szCs w:val="22"/>
              </w:rPr>
            </w:pPr>
            <w:r w:rsidRPr="001703D9">
              <w:rPr>
                <w:sz w:val="22"/>
                <w:szCs w:val="22"/>
              </w:rPr>
              <w:t>Totale</w:t>
            </w:r>
            <w:r>
              <w:rPr>
                <w:sz w:val="22"/>
                <w:szCs w:val="22"/>
              </w:rPr>
              <w:t xml:space="preserve"> </w:t>
            </w:r>
            <w:r w:rsidRPr="001703D9">
              <w:rPr>
                <w:sz w:val="22"/>
                <w:szCs w:val="22"/>
              </w:rPr>
              <w:t>costi</w:t>
            </w:r>
          </w:p>
          <w:p w:rsidR="003365F6" w:rsidRPr="001703D9" w:rsidRDefault="003365F6" w:rsidP="001703D9">
            <w:pPr>
              <w:snapToGrid w:val="0"/>
              <w:jc w:val="center"/>
              <w:rPr>
                <w:sz w:val="22"/>
                <w:szCs w:val="22"/>
              </w:rPr>
            </w:pPr>
            <w:r w:rsidRPr="001703D9">
              <w:rPr>
                <w:sz w:val="22"/>
                <w:szCs w:val="22"/>
              </w:rPr>
              <w:t>della</w:t>
            </w:r>
            <w:r>
              <w:rPr>
                <w:sz w:val="22"/>
                <w:szCs w:val="22"/>
              </w:rPr>
              <w:t xml:space="preserve"> </w:t>
            </w:r>
            <w:r w:rsidRPr="001703D9">
              <w:rPr>
                <w:sz w:val="22"/>
                <w:szCs w:val="22"/>
              </w:rPr>
              <w:t>produzione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5F6" w:rsidRPr="005332F0" w:rsidRDefault="00F3640D" w:rsidP="00B6165C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970.881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5F6" w:rsidRPr="005332F0" w:rsidRDefault="00F3640D" w:rsidP="00B6165C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924.750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5F6" w:rsidRPr="005332F0" w:rsidRDefault="00F3640D" w:rsidP="00585083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898.500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F6" w:rsidRPr="005332F0" w:rsidRDefault="00F3640D" w:rsidP="00585083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- 26.250</w:t>
            </w:r>
          </w:p>
        </w:tc>
      </w:tr>
      <w:tr w:rsidR="003365F6" w:rsidRPr="006A68AF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5F6" w:rsidRPr="001703D9" w:rsidRDefault="003365F6" w:rsidP="001703D9">
            <w:pPr>
              <w:snapToGrid w:val="0"/>
              <w:jc w:val="center"/>
              <w:rPr>
                <w:sz w:val="22"/>
                <w:szCs w:val="22"/>
              </w:rPr>
            </w:pPr>
            <w:r w:rsidRPr="001703D9">
              <w:rPr>
                <w:sz w:val="22"/>
                <w:szCs w:val="22"/>
              </w:rPr>
              <w:t>DIFF.</w:t>
            </w:r>
            <w:r>
              <w:rPr>
                <w:sz w:val="22"/>
                <w:szCs w:val="22"/>
              </w:rPr>
              <w:t xml:space="preserve"> </w:t>
            </w:r>
            <w:r w:rsidRPr="001703D9">
              <w:rPr>
                <w:sz w:val="22"/>
                <w:szCs w:val="22"/>
              </w:rPr>
              <w:t>Valore</w:t>
            </w:r>
            <w:r>
              <w:rPr>
                <w:sz w:val="22"/>
                <w:szCs w:val="22"/>
              </w:rPr>
              <w:t xml:space="preserve"> </w:t>
            </w:r>
            <w:r w:rsidRPr="001703D9">
              <w:rPr>
                <w:sz w:val="22"/>
                <w:szCs w:val="22"/>
              </w:rPr>
              <w:t>e</w:t>
            </w:r>
          </w:p>
          <w:p w:rsidR="003365F6" w:rsidRPr="001703D9" w:rsidRDefault="003365F6" w:rsidP="001703D9">
            <w:pPr>
              <w:snapToGrid w:val="0"/>
              <w:jc w:val="center"/>
              <w:rPr>
                <w:sz w:val="22"/>
                <w:szCs w:val="22"/>
              </w:rPr>
            </w:pPr>
            <w:r w:rsidRPr="001703D9">
              <w:rPr>
                <w:sz w:val="22"/>
                <w:szCs w:val="22"/>
              </w:rPr>
              <w:t>Costi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703D9">
              <w:rPr>
                <w:sz w:val="22"/>
                <w:szCs w:val="22"/>
              </w:rPr>
              <w:t>d.produz.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5F6" w:rsidRPr="005332F0" w:rsidRDefault="00F3640D" w:rsidP="00B6165C">
            <w:pPr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48.682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5F6" w:rsidRPr="005332F0" w:rsidRDefault="00F3640D" w:rsidP="00B6165C">
            <w:pPr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55.300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5F6" w:rsidRPr="005332F0" w:rsidRDefault="00F3640D" w:rsidP="00585083">
            <w:pPr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75.500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F6" w:rsidRPr="005332F0" w:rsidRDefault="00F3640D" w:rsidP="00585083">
            <w:pPr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20.200</w:t>
            </w:r>
          </w:p>
        </w:tc>
      </w:tr>
      <w:tr w:rsidR="003365F6" w:rsidRPr="006A68AF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5F6" w:rsidRPr="001703D9" w:rsidRDefault="003365F6" w:rsidP="001703D9">
            <w:pPr>
              <w:snapToGrid w:val="0"/>
              <w:jc w:val="center"/>
              <w:rPr>
                <w:sz w:val="22"/>
                <w:szCs w:val="22"/>
              </w:rPr>
            </w:pPr>
            <w:r w:rsidRPr="001703D9">
              <w:rPr>
                <w:sz w:val="22"/>
                <w:szCs w:val="22"/>
              </w:rPr>
              <w:t>Totale</w:t>
            </w:r>
            <w:r>
              <w:rPr>
                <w:sz w:val="22"/>
                <w:szCs w:val="22"/>
              </w:rPr>
              <w:t xml:space="preserve"> </w:t>
            </w:r>
            <w:r w:rsidRPr="001703D9">
              <w:rPr>
                <w:sz w:val="22"/>
                <w:szCs w:val="22"/>
              </w:rPr>
              <w:t>proventi</w:t>
            </w:r>
            <w:r>
              <w:rPr>
                <w:sz w:val="22"/>
                <w:szCs w:val="22"/>
              </w:rPr>
              <w:t xml:space="preserve"> </w:t>
            </w:r>
            <w:r w:rsidRPr="001703D9">
              <w:rPr>
                <w:sz w:val="22"/>
                <w:szCs w:val="22"/>
              </w:rPr>
              <w:t>e</w:t>
            </w:r>
          </w:p>
          <w:p w:rsidR="003365F6" w:rsidRPr="001703D9" w:rsidRDefault="003365F6" w:rsidP="001703D9">
            <w:pPr>
              <w:snapToGrid w:val="0"/>
              <w:jc w:val="center"/>
              <w:rPr>
                <w:sz w:val="22"/>
                <w:szCs w:val="22"/>
              </w:rPr>
            </w:pPr>
            <w:r w:rsidRPr="001703D9">
              <w:rPr>
                <w:sz w:val="22"/>
                <w:szCs w:val="22"/>
              </w:rPr>
              <w:t>Oneri</w:t>
            </w:r>
            <w:r>
              <w:rPr>
                <w:sz w:val="22"/>
                <w:szCs w:val="22"/>
              </w:rPr>
              <w:t xml:space="preserve"> </w:t>
            </w:r>
            <w:r w:rsidRPr="001703D9">
              <w:rPr>
                <w:sz w:val="22"/>
                <w:szCs w:val="22"/>
              </w:rPr>
              <w:t>finanziari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5F6" w:rsidRPr="005332F0" w:rsidRDefault="00F3640D" w:rsidP="00B6165C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11.148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5F6" w:rsidRPr="005332F0" w:rsidRDefault="00F3640D" w:rsidP="00F3640D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 9.900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5F6" w:rsidRPr="005332F0" w:rsidRDefault="00F3640D" w:rsidP="001B5AE6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 8.900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F6" w:rsidRPr="005332F0" w:rsidRDefault="00F3640D" w:rsidP="003365F6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</w:t>
            </w:r>
          </w:p>
        </w:tc>
      </w:tr>
      <w:tr w:rsidR="003365F6" w:rsidRPr="006A68AF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5F6" w:rsidRPr="001703D9" w:rsidRDefault="003365F6" w:rsidP="001703D9">
            <w:pPr>
              <w:snapToGrid w:val="0"/>
              <w:jc w:val="center"/>
              <w:rPr>
                <w:sz w:val="22"/>
                <w:szCs w:val="22"/>
              </w:rPr>
            </w:pPr>
            <w:r w:rsidRPr="001703D9">
              <w:rPr>
                <w:sz w:val="22"/>
                <w:szCs w:val="22"/>
              </w:rPr>
              <w:t>Rettifiche</w:t>
            </w:r>
            <w:r>
              <w:rPr>
                <w:sz w:val="22"/>
                <w:szCs w:val="22"/>
              </w:rPr>
              <w:t xml:space="preserve"> </w:t>
            </w:r>
            <w:r w:rsidRPr="001703D9">
              <w:rPr>
                <w:sz w:val="22"/>
                <w:szCs w:val="22"/>
              </w:rPr>
              <w:t>valore</w:t>
            </w:r>
            <w:r>
              <w:rPr>
                <w:sz w:val="22"/>
                <w:szCs w:val="22"/>
              </w:rPr>
              <w:t xml:space="preserve"> </w:t>
            </w:r>
            <w:r w:rsidRPr="001703D9">
              <w:rPr>
                <w:sz w:val="22"/>
                <w:szCs w:val="22"/>
              </w:rPr>
              <w:t>attività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703D9">
              <w:rPr>
                <w:sz w:val="22"/>
                <w:szCs w:val="22"/>
              </w:rPr>
              <w:t>finanz</w:t>
            </w:r>
            <w:proofErr w:type="spellEnd"/>
            <w:r w:rsidRPr="001703D9">
              <w:rPr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5F6" w:rsidRPr="005332F0" w:rsidRDefault="00F3640D" w:rsidP="003365F6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2.144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5F6" w:rsidRPr="005332F0" w:rsidRDefault="00F3640D" w:rsidP="003365F6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5F6" w:rsidRPr="005332F0" w:rsidRDefault="00F3640D" w:rsidP="003365F6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F6" w:rsidRPr="005332F0" w:rsidRDefault="00F3640D" w:rsidP="001B5AE6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365F6" w:rsidRPr="006A68AF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5F6" w:rsidRPr="001703D9" w:rsidRDefault="003365F6" w:rsidP="001703D9">
            <w:pPr>
              <w:snapToGrid w:val="0"/>
              <w:jc w:val="center"/>
              <w:rPr>
                <w:sz w:val="22"/>
                <w:szCs w:val="22"/>
              </w:rPr>
            </w:pPr>
            <w:r w:rsidRPr="001703D9">
              <w:rPr>
                <w:sz w:val="22"/>
                <w:szCs w:val="22"/>
              </w:rPr>
              <w:t>Risultato</w:t>
            </w:r>
            <w:r>
              <w:rPr>
                <w:sz w:val="22"/>
                <w:szCs w:val="22"/>
              </w:rPr>
              <w:t xml:space="preserve"> </w:t>
            </w:r>
            <w:r w:rsidRPr="001703D9">
              <w:rPr>
                <w:sz w:val="22"/>
                <w:szCs w:val="22"/>
              </w:rPr>
              <w:t>prima</w:t>
            </w:r>
          </w:p>
          <w:p w:rsidR="003365F6" w:rsidRPr="001703D9" w:rsidRDefault="003365F6" w:rsidP="001703D9">
            <w:pPr>
              <w:snapToGrid w:val="0"/>
              <w:jc w:val="center"/>
              <w:rPr>
                <w:sz w:val="22"/>
                <w:szCs w:val="22"/>
              </w:rPr>
            </w:pPr>
            <w:r w:rsidRPr="001703D9">
              <w:rPr>
                <w:sz w:val="22"/>
                <w:szCs w:val="22"/>
              </w:rPr>
              <w:t>delle</w:t>
            </w:r>
            <w:r>
              <w:rPr>
                <w:sz w:val="22"/>
                <w:szCs w:val="22"/>
              </w:rPr>
              <w:t xml:space="preserve"> </w:t>
            </w:r>
            <w:r w:rsidRPr="001703D9">
              <w:rPr>
                <w:sz w:val="22"/>
                <w:szCs w:val="22"/>
              </w:rPr>
              <w:t>imposte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5F6" w:rsidRPr="005332F0" w:rsidRDefault="00F3640D" w:rsidP="00B6165C">
            <w:pPr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39.678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5F6" w:rsidRPr="005332F0" w:rsidRDefault="00F3640D" w:rsidP="00B6165C">
            <w:pPr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45.400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5F6" w:rsidRPr="005332F0" w:rsidRDefault="00F3640D" w:rsidP="00585083">
            <w:pPr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66.600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F6" w:rsidRPr="005332F0" w:rsidRDefault="00F3640D" w:rsidP="00585083">
            <w:pPr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21.200</w:t>
            </w:r>
          </w:p>
        </w:tc>
      </w:tr>
      <w:tr w:rsidR="003365F6" w:rsidRPr="006A68AF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5F6" w:rsidRPr="001703D9" w:rsidRDefault="003365F6" w:rsidP="001703D9">
            <w:pPr>
              <w:snapToGrid w:val="0"/>
              <w:jc w:val="center"/>
              <w:rPr>
                <w:sz w:val="22"/>
                <w:szCs w:val="22"/>
              </w:rPr>
            </w:pPr>
            <w:r w:rsidRPr="001703D9">
              <w:rPr>
                <w:sz w:val="22"/>
                <w:szCs w:val="22"/>
              </w:rPr>
              <w:t>Imposte</w:t>
            </w:r>
            <w:r>
              <w:rPr>
                <w:sz w:val="22"/>
                <w:szCs w:val="22"/>
              </w:rPr>
              <w:t xml:space="preserve"> </w:t>
            </w:r>
            <w:r w:rsidRPr="001703D9">
              <w:rPr>
                <w:sz w:val="22"/>
                <w:szCs w:val="22"/>
              </w:rPr>
              <w:t>sul</w:t>
            </w:r>
            <w:r>
              <w:rPr>
                <w:sz w:val="22"/>
                <w:szCs w:val="22"/>
              </w:rPr>
              <w:t xml:space="preserve"> </w:t>
            </w:r>
            <w:r w:rsidRPr="001703D9">
              <w:rPr>
                <w:sz w:val="22"/>
                <w:szCs w:val="22"/>
              </w:rPr>
              <w:t>reddito</w:t>
            </w:r>
            <w:r>
              <w:rPr>
                <w:sz w:val="22"/>
                <w:szCs w:val="22"/>
              </w:rPr>
              <w:t xml:space="preserve"> </w:t>
            </w:r>
            <w:r w:rsidRPr="001703D9">
              <w:rPr>
                <w:sz w:val="22"/>
                <w:szCs w:val="22"/>
              </w:rPr>
              <w:t>dell’</w:t>
            </w:r>
            <w:proofErr w:type="spellStart"/>
            <w:r w:rsidRPr="001703D9">
              <w:rPr>
                <w:sz w:val="22"/>
                <w:szCs w:val="22"/>
              </w:rPr>
              <w:t>eser</w:t>
            </w:r>
            <w:proofErr w:type="spellEnd"/>
            <w:r w:rsidRPr="001703D9">
              <w:rPr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5F6" w:rsidRPr="005332F0" w:rsidRDefault="00F3640D" w:rsidP="00B6165C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24.834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5F6" w:rsidRPr="005332F0" w:rsidRDefault="00F3640D" w:rsidP="00B6165C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26.400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5F6" w:rsidRPr="005332F0" w:rsidRDefault="00F3640D" w:rsidP="003365F6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20.600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F6" w:rsidRPr="005332F0" w:rsidRDefault="00F3640D" w:rsidP="003365F6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5.800</w:t>
            </w:r>
          </w:p>
        </w:tc>
      </w:tr>
      <w:tr w:rsidR="003365F6" w:rsidRPr="006A68AF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5F6" w:rsidRPr="001703D9" w:rsidRDefault="003365F6" w:rsidP="001703D9">
            <w:pPr>
              <w:snapToGrid w:val="0"/>
              <w:jc w:val="center"/>
              <w:rPr>
                <w:sz w:val="22"/>
                <w:szCs w:val="22"/>
              </w:rPr>
            </w:pPr>
            <w:r w:rsidRPr="001703D9">
              <w:rPr>
                <w:sz w:val="22"/>
                <w:szCs w:val="22"/>
              </w:rPr>
              <w:t>Utile/Perdita</w:t>
            </w:r>
          </w:p>
          <w:p w:rsidR="003365F6" w:rsidRPr="001703D9" w:rsidRDefault="003365F6" w:rsidP="001703D9">
            <w:pPr>
              <w:snapToGrid w:val="0"/>
              <w:jc w:val="center"/>
              <w:rPr>
                <w:sz w:val="22"/>
                <w:szCs w:val="22"/>
              </w:rPr>
            </w:pPr>
            <w:r w:rsidRPr="001703D9">
              <w:rPr>
                <w:sz w:val="22"/>
                <w:szCs w:val="22"/>
              </w:rPr>
              <w:t>dell’esercizio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5F6" w:rsidRPr="005332F0" w:rsidRDefault="00F3640D" w:rsidP="00B6165C">
            <w:pPr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14.844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5F6" w:rsidRPr="005332F0" w:rsidRDefault="00F3640D" w:rsidP="00B6165C">
            <w:pPr>
              <w:tabs>
                <w:tab w:val="center" w:pos="994"/>
                <w:tab w:val="right" w:pos="1989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19.000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5F6" w:rsidRPr="005332F0" w:rsidRDefault="00F3640D" w:rsidP="00585083">
            <w:pPr>
              <w:tabs>
                <w:tab w:val="center" w:pos="954"/>
                <w:tab w:val="right" w:pos="1908"/>
              </w:tabs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46.000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F6" w:rsidRPr="005332F0" w:rsidRDefault="00F3640D" w:rsidP="00585083">
            <w:pPr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27.000</w:t>
            </w:r>
          </w:p>
        </w:tc>
      </w:tr>
    </w:tbl>
    <w:p w:rsidR="001D4E42" w:rsidRDefault="00594053" w:rsidP="001D4E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C7F14" w:rsidRPr="00410442" w:rsidRDefault="008C7F14" w:rsidP="008C7F14">
      <w:pPr>
        <w:ind w:firstLine="360"/>
        <w:jc w:val="both"/>
        <w:rPr>
          <w:sz w:val="24"/>
          <w:szCs w:val="24"/>
        </w:rPr>
      </w:pPr>
      <w:r w:rsidRPr="00410442">
        <w:rPr>
          <w:sz w:val="24"/>
          <w:szCs w:val="24"/>
        </w:rPr>
        <w:t>Il</w:t>
      </w:r>
      <w:r w:rsidR="00594053" w:rsidRPr="00410442">
        <w:rPr>
          <w:sz w:val="24"/>
          <w:szCs w:val="24"/>
        </w:rPr>
        <w:t xml:space="preserve"> </w:t>
      </w:r>
      <w:r w:rsidRPr="00410442">
        <w:rPr>
          <w:sz w:val="24"/>
          <w:szCs w:val="24"/>
        </w:rPr>
        <w:t>Budget</w:t>
      </w:r>
      <w:r w:rsidR="00594053" w:rsidRPr="00410442">
        <w:rPr>
          <w:sz w:val="24"/>
          <w:szCs w:val="24"/>
        </w:rPr>
        <w:t xml:space="preserve"> </w:t>
      </w:r>
      <w:r w:rsidRPr="00410442">
        <w:rPr>
          <w:sz w:val="24"/>
          <w:szCs w:val="24"/>
        </w:rPr>
        <w:t>economico</w:t>
      </w:r>
      <w:r w:rsidR="00594053" w:rsidRPr="00410442">
        <w:rPr>
          <w:sz w:val="24"/>
          <w:szCs w:val="24"/>
        </w:rPr>
        <w:t xml:space="preserve"> </w:t>
      </w:r>
      <w:r w:rsidRPr="00410442">
        <w:rPr>
          <w:sz w:val="24"/>
          <w:szCs w:val="24"/>
        </w:rPr>
        <w:t>complessivo</w:t>
      </w:r>
      <w:r w:rsidR="00594053" w:rsidRPr="00410442">
        <w:rPr>
          <w:sz w:val="24"/>
          <w:szCs w:val="24"/>
        </w:rPr>
        <w:t xml:space="preserve"> </w:t>
      </w:r>
      <w:r w:rsidRPr="00410442">
        <w:rPr>
          <w:sz w:val="24"/>
          <w:szCs w:val="24"/>
        </w:rPr>
        <w:t>per</w:t>
      </w:r>
      <w:r w:rsidR="00594053" w:rsidRPr="00410442">
        <w:rPr>
          <w:sz w:val="24"/>
          <w:szCs w:val="24"/>
        </w:rPr>
        <w:t xml:space="preserve"> </w:t>
      </w:r>
      <w:r w:rsidRPr="00410442">
        <w:rPr>
          <w:sz w:val="24"/>
          <w:szCs w:val="24"/>
        </w:rPr>
        <w:t>l’anno</w:t>
      </w:r>
      <w:r w:rsidR="00594053" w:rsidRPr="00410442">
        <w:rPr>
          <w:sz w:val="24"/>
          <w:szCs w:val="24"/>
        </w:rPr>
        <w:t xml:space="preserve"> </w:t>
      </w:r>
      <w:r w:rsidRPr="00410442">
        <w:rPr>
          <w:sz w:val="24"/>
          <w:szCs w:val="24"/>
        </w:rPr>
        <w:t>201</w:t>
      </w:r>
      <w:r w:rsidR="00F3640D">
        <w:rPr>
          <w:sz w:val="24"/>
          <w:szCs w:val="24"/>
        </w:rPr>
        <w:t>9</w:t>
      </w:r>
      <w:r w:rsidR="00594053" w:rsidRPr="00410442">
        <w:rPr>
          <w:sz w:val="24"/>
          <w:szCs w:val="24"/>
        </w:rPr>
        <w:t xml:space="preserve"> </w:t>
      </w:r>
      <w:r w:rsidRPr="00410442">
        <w:rPr>
          <w:sz w:val="24"/>
          <w:szCs w:val="24"/>
        </w:rPr>
        <w:t>evidenzia,</w:t>
      </w:r>
      <w:r w:rsidR="00594053" w:rsidRPr="00410442">
        <w:rPr>
          <w:sz w:val="24"/>
          <w:szCs w:val="24"/>
        </w:rPr>
        <w:t xml:space="preserve"> </w:t>
      </w:r>
      <w:r w:rsidRPr="00410442">
        <w:rPr>
          <w:sz w:val="24"/>
          <w:szCs w:val="24"/>
        </w:rPr>
        <w:t>quindi,</w:t>
      </w:r>
      <w:r w:rsidR="00594053" w:rsidRPr="00410442">
        <w:rPr>
          <w:sz w:val="24"/>
          <w:szCs w:val="24"/>
        </w:rPr>
        <w:t xml:space="preserve"> </w:t>
      </w:r>
      <w:r w:rsidRPr="00410442">
        <w:rPr>
          <w:sz w:val="24"/>
          <w:szCs w:val="24"/>
        </w:rPr>
        <w:t>un</w:t>
      </w:r>
      <w:r w:rsidR="00594053" w:rsidRPr="00410442">
        <w:rPr>
          <w:sz w:val="24"/>
          <w:szCs w:val="24"/>
        </w:rPr>
        <w:t xml:space="preserve"> </w:t>
      </w:r>
      <w:r w:rsidRPr="00410442">
        <w:rPr>
          <w:sz w:val="24"/>
          <w:szCs w:val="24"/>
        </w:rPr>
        <w:t>utile</w:t>
      </w:r>
      <w:r w:rsidR="00594053" w:rsidRPr="00410442">
        <w:rPr>
          <w:sz w:val="24"/>
          <w:szCs w:val="24"/>
        </w:rPr>
        <w:t xml:space="preserve"> </w:t>
      </w:r>
      <w:r w:rsidRPr="00410442">
        <w:rPr>
          <w:sz w:val="24"/>
          <w:szCs w:val="24"/>
        </w:rPr>
        <w:t>di</w:t>
      </w:r>
      <w:r w:rsidR="00594053" w:rsidRPr="00410442">
        <w:rPr>
          <w:sz w:val="24"/>
          <w:szCs w:val="24"/>
        </w:rPr>
        <w:t xml:space="preserve"> </w:t>
      </w:r>
      <w:r w:rsidRPr="00410442">
        <w:rPr>
          <w:sz w:val="24"/>
          <w:szCs w:val="24"/>
        </w:rPr>
        <w:t>€</w:t>
      </w:r>
      <w:r w:rsidR="00594053" w:rsidRPr="00410442">
        <w:rPr>
          <w:sz w:val="24"/>
          <w:szCs w:val="24"/>
        </w:rPr>
        <w:t xml:space="preserve"> </w:t>
      </w:r>
      <w:r w:rsidR="00F3640D">
        <w:rPr>
          <w:sz w:val="24"/>
          <w:szCs w:val="24"/>
        </w:rPr>
        <w:t>46</w:t>
      </w:r>
      <w:r w:rsidRPr="00410442">
        <w:rPr>
          <w:sz w:val="24"/>
          <w:szCs w:val="24"/>
        </w:rPr>
        <w:t>.</w:t>
      </w:r>
      <w:r w:rsidR="00F3640D">
        <w:rPr>
          <w:sz w:val="24"/>
          <w:szCs w:val="24"/>
        </w:rPr>
        <w:t>0</w:t>
      </w:r>
      <w:r w:rsidR="001C38F9" w:rsidRPr="00410442">
        <w:rPr>
          <w:sz w:val="24"/>
          <w:szCs w:val="24"/>
        </w:rPr>
        <w:t>00</w:t>
      </w:r>
      <w:r w:rsidRPr="00410442">
        <w:rPr>
          <w:sz w:val="24"/>
          <w:szCs w:val="24"/>
        </w:rPr>
        <w:t>,</w:t>
      </w:r>
      <w:r w:rsidR="00594053" w:rsidRPr="00410442">
        <w:rPr>
          <w:sz w:val="24"/>
          <w:szCs w:val="24"/>
        </w:rPr>
        <w:t xml:space="preserve"> </w:t>
      </w:r>
      <w:r w:rsidRPr="00410442">
        <w:rPr>
          <w:sz w:val="24"/>
          <w:szCs w:val="24"/>
        </w:rPr>
        <w:t>determinato</w:t>
      </w:r>
      <w:r w:rsidR="00594053" w:rsidRPr="00410442">
        <w:rPr>
          <w:sz w:val="24"/>
          <w:szCs w:val="24"/>
        </w:rPr>
        <w:t xml:space="preserve"> </w:t>
      </w:r>
      <w:r w:rsidRPr="00410442">
        <w:rPr>
          <w:sz w:val="24"/>
          <w:szCs w:val="24"/>
        </w:rPr>
        <w:t>dopo</w:t>
      </w:r>
      <w:r w:rsidR="00594053" w:rsidRPr="00410442">
        <w:rPr>
          <w:sz w:val="24"/>
          <w:szCs w:val="24"/>
        </w:rPr>
        <w:t xml:space="preserve"> </w:t>
      </w:r>
      <w:r w:rsidRPr="00410442">
        <w:rPr>
          <w:sz w:val="24"/>
          <w:szCs w:val="24"/>
        </w:rPr>
        <w:t>aver</w:t>
      </w:r>
      <w:r w:rsidR="00594053" w:rsidRPr="00410442">
        <w:rPr>
          <w:sz w:val="24"/>
          <w:szCs w:val="24"/>
        </w:rPr>
        <w:t xml:space="preserve"> </w:t>
      </w:r>
      <w:r w:rsidR="00331764" w:rsidRPr="00410442">
        <w:rPr>
          <w:sz w:val="24"/>
          <w:szCs w:val="24"/>
        </w:rPr>
        <w:t>stimato</w:t>
      </w:r>
      <w:r w:rsidR="00594053" w:rsidRPr="00410442">
        <w:rPr>
          <w:sz w:val="24"/>
          <w:szCs w:val="24"/>
        </w:rPr>
        <w:t xml:space="preserve"> </w:t>
      </w:r>
      <w:r w:rsidR="00331764" w:rsidRPr="00410442">
        <w:rPr>
          <w:sz w:val="24"/>
          <w:szCs w:val="24"/>
        </w:rPr>
        <w:t>accantonamenti</w:t>
      </w:r>
      <w:r w:rsidR="00594053" w:rsidRPr="00410442">
        <w:rPr>
          <w:sz w:val="24"/>
          <w:szCs w:val="24"/>
        </w:rPr>
        <w:t xml:space="preserve"> </w:t>
      </w:r>
      <w:r w:rsidR="00331764" w:rsidRPr="00410442">
        <w:rPr>
          <w:sz w:val="24"/>
          <w:szCs w:val="24"/>
        </w:rPr>
        <w:t>per</w:t>
      </w:r>
      <w:r w:rsidR="00594053" w:rsidRPr="00410442">
        <w:rPr>
          <w:sz w:val="24"/>
          <w:szCs w:val="24"/>
        </w:rPr>
        <w:t xml:space="preserve"> </w:t>
      </w:r>
      <w:r w:rsidR="00331764" w:rsidRPr="00410442">
        <w:rPr>
          <w:sz w:val="24"/>
          <w:szCs w:val="24"/>
        </w:rPr>
        <w:t>imposte</w:t>
      </w:r>
      <w:r w:rsidR="00594053" w:rsidRPr="00410442">
        <w:rPr>
          <w:sz w:val="24"/>
          <w:szCs w:val="24"/>
        </w:rPr>
        <w:t xml:space="preserve"> </w:t>
      </w:r>
      <w:r w:rsidR="00331764" w:rsidRPr="00410442">
        <w:rPr>
          <w:sz w:val="24"/>
          <w:szCs w:val="24"/>
        </w:rPr>
        <w:t>di</w:t>
      </w:r>
      <w:r w:rsidR="00594053" w:rsidRPr="00410442">
        <w:rPr>
          <w:sz w:val="24"/>
          <w:szCs w:val="24"/>
        </w:rPr>
        <w:t xml:space="preserve"> </w:t>
      </w:r>
      <w:r w:rsidR="00331764" w:rsidRPr="00410442">
        <w:rPr>
          <w:sz w:val="24"/>
          <w:szCs w:val="24"/>
        </w:rPr>
        <w:t>competenza</w:t>
      </w:r>
      <w:r w:rsidR="00594053" w:rsidRPr="00410442">
        <w:rPr>
          <w:sz w:val="24"/>
          <w:szCs w:val="24"/>
        </w:rPr>
        <w:t xml:space="preserve"> </w:t>
      </w:r>
      <w:r w:rsidR="00331764" w:rsidRPr="00410442">
        <w:rPr>
          <w:sz w:val="24"/>
          <w:szCs w:val="24"/>
        </w:rPr>
        <w:t>dell’esercizio</w:t>
      </w:r>
      <w:r w:rsidR="00594053" w:rsidRPr="00410442">
        <w:rPr>
          <w:sz w:val="24"/>
          <w:szCs w:val="24"/>
        </w:rPr>
        <w:t xml:space="preserve"> </w:t>
      </w:r>
      <w:r w:rsidR="00331764" w:rsidRPr="00410442">
        <w:rPr>
          <w:sz w:val="24"/>
          <w:szCs w:val="24"/>
        </w:rPr>
        <w:t>per</w:t>
      </w:r>
      <w:r w:rsidR="00594053" w:rsidRPr="00410442">
        <w:rPr>
          <w:sz w:val="24"/>
          <w:szCs w:val="24"/>
        </w:rPr>
        <w:t xml:space="preserve"> </w:t>
      </w:r>
      <w:r w:rsidR="00331764" w:rsidRPr="00410442">
        <w:rPr>
          <w:sz w:val="24"/>
          <w:szCs w:val="24"/>
        </w:rPr>
        <w:t>€</w:t>
      </w:r>
      <w:r w:rsidR="00594053" w:rsidRPr="00410442">
        <w:rPr>
          <w:sz w:val="24"/>
          <w:szCs w:val="24"/>
        </w:rPr>
        <w:t xml:space="preserve"> </w:t>
      </w:r>
      <w:r w:rsidR="00331764" w:rsidRPr="00410442">
        <w:rPr>
          <w:sz w:val="24"/>
          <w:szCs w:val="24"/>
        </w:rPr>
        <w:t>2</w:t>
      </w:r>
      <w:r w:rsidR="00F3640D">
        <w:rPr>
          <w:sz w:val="24"/>
          <w:szCs w:val="24"/>
        </w:rPr>
        <w:t>0</w:t>
      </w:r>
      <w:r w:rsidR="00331764" w:rsidRPr="00410442">
        <w:rPr>
          <w:sz w:val="24"/>
          <w:szCs w:val="24"/>
        </w:rPr>
        <w:t>.</w:t>
      </w:r>
      <w:r w:rsidR="00F3640D">
        <w:rPr>
          <w:sz w:val="24"/>
          <w:szCs w:val="24"/>
        </w:rPr>
        <w:t>6</w:t>
      </w:r>
      <w:r w:rsidR="00410442" w:rsidRPr="00410442">
        <w:rPr>
          <w:sz w:val="24"/>
          <w:szCs w:val="24"/>
        </w:rPr>
        <w:t>0</w:t>
      </w:r>
      <w:r w:rsidR="00B33366" w:rsidRPr="00410442">
        <w:rPr>
          <w:sz w:val="24"/>
          <w:szCs w:val="24"/>
        </w:rPr>
        <w:t>0</w:t>
      </w:r>
      <w:r w:rsidR="00331764" w:rsidRPr="00410442">
        <w:rPr>
          <w:sz w:val="24"/>
          <w:szCs w:val="24"/>
        </w:rPr>
        <w:t>.</w:t>
      </w:r>
    </w:p>
    <w:p w:rsidR="00A246D5" w:rsidRPr="00B6165C" w:rsidRDefault="00A246D5" w:rsidP="008C7F14">
      <w:pPr>
        <w:ind w:firstLine="360"/>
        <w:jc w:val="both"/>
        <w:rPr>
          <w:sz w:val="24"/>
          <w:szCs w:val="24"/>
          <w:highlight w:val="yellow"/>
        </w:rPr>
      </w:pPr>
    </w:p>
    <w:p w:rsidR="00292F83" w:rsidRPr="00410442" w:rsidRDefault="00A246D5" w:rsidP="008C7F14">
      <w:pPr>
        <w:ind w:firstLine="360"/>
        <w:jc w:val="both"/>
        <w:rPr>
          <w:sz w:val="24"/>
          <w:szCs w:val="24"/>
        </w:rPr>
      </w:pPr>
      <w:r w:rsidRPr="00410442">
        <w:rPr>
          <w:sz w:val="24"/>
          <w:szCs w:val="24"/>
        </w:rPr>
        <w:t>Il</w:t>
      </w:r>
      <w:r w:rsidR="00594053" w:rsidRPr="00410442">
        <w:rPr>
          <w:sz w:val="24"/>
          <w:szCs w:val="24"/>
        </w:rPr>
        <w:t xml:space="preserve"> </w:t>
      </w:r>
      <w:r w:rsidRPr="00410442">
        <w:rPr>
          <w:sz w:val="24"/>
          <w:szCs w:val="24"/>
        </w:rPr>
        <w:t>risultato</w:t>
      </w:r>
      <w:r w:rsidR="00594053" w:rsidRPr="00410442">
        <w:rPr>
          <w:sz w:val="24"/>
          <w:szCs w:val="24"/>
        </w:rPr>
        <w:t xml:space="preserve"> </w:t>
      </w:r>
      <w:r w:rsidRPr="00410442">
        <w:rPr>
          <w:sz w:val="24"/>
          <w:szCs w:val="24"/>
        </w:rPr>
        <w:t>operativo</w:t>
      </w:r>
      <w:r w:rsidR="00594053" w:rsidRPr="00410442">
        <w:rPr>
          <w:sz w:val="24"/>
          <w:szCs w:val="24"/>
        </w:rPr>
        <w:t xml:space="preserve"> </w:t>
      </w:r>
      <w:r w:rsidRPr="00410442">
        <w:rPr>
          <w:sz w:val="24"/>
          <w:szCs w:val="24"/>
        </w:rPr>
        <w:t>della</w:t>
      </w:r>
      <w:r w:rsidR="00594053" w:rsidRPr="00410442">
        <w:rPr>
          <w:sz w:val="24"/>
          <w:szCs w:val="24"/>
        </w:rPr>
        <w:t xml:space="preserve"> </w:t>
      </w:r>
      <w:r w:rsidRPr="00410442">
        <w:rPr>
          <w:sz w:val="24"/>
          <w:szCs w:val="24"/>
        </w:rPr>
        <w:t>gestione</w:t>
      </w:r>
      <w:r w:rsidR="00594053" w:rsidRPr="00410442">
        <w:rPr>
          <w:sz w:val="24"/>
          <w:szCs w:val="24"/>
        </w:rPr>
        <w:t xml:space="preserve"> </w:t>
      </w:r>
      <w:r w:rsidR="00292F83" w:rsidRPr="00410442">
        <w:rPr>
          <w:sz w:val="24"/>
          <w:szCs w:val="24"/>
        </w:rPr>
        <w:t>è</w:t>
      </w:r>
      <w:r w:rsidR="00594053" w:rsidRPr="00410442">
        <w:rPr>
          <w:sz w:val="24"/>
          <w:szCs w:val="24"/>
        </w:rPr>
        <w:t xml:space="preserve"> </w:t>
      </w:r>
      <w:r w:rsidR="00292F83" w:rsidRPr="00410442">
        <w:rPr>
          <w:sz w:val="24"/>
          <w:szCs w:val="24"/>
        </w:rPr>
        <w:t>positivo</w:t>
      </w:r>
      <w:r w:rsidR="00594053" w:rsidRPr="00410442">
        <w:rPr>
          <w:sz w:val="24"/>
          <w:szCs w:val="24"/>
        </w:rPr>
        <w:t xml:space="preserve"> </w:t>
      </w:r>
      <w:r w:rsidR="00292F83" w:rsidRPr="00410442">
        <w:rPr>
          <w:sz w:val="24"/>
          <w:szCs w:val="24"/>
        </w:rPr>
        <w:t>e</w:t>
      </w:r>
      <w:r w:rsidR="00594053" w:rsidRPr="00410442">
        <w:rPr>
          <w:sz w:val="24"/>
          <w:szCs w:val="24"/>
        </w:rPr>
        <w:t xml:space="preserve"> </w:t>
      </w:r>
      <w:r w:rsidR="00292F83" w:rsidRPr="00410442">
        <w:rPr>
          <w:sz w:val="24"/>
          <w:szCs w:val="24"/>
        </w:rPr>
        <w:t>pari</w:t>
      </w:r>
      <w:r w:rsidR="00594053" w:rsidRPr="00410442">
        <w:rPr>
          <w:sz w:val="24"/>
          <w:szCs w:val="24"/>
        </w:rPr>
        <w:t xml:space="preserve"> </w:t>
      </w:r>
      <w:r w:rsidR="00292F83" w:rsidRPr="00410442">
        <w:rPr>
          <w:sz w:val="24"/>
          <w:szCs w:val="24"/>
        </w:rPr>
        <w:t>ad</w:t>
      </w:r>
      <w:r w:rsidR="00594053" w:rsidRPr="00410442">
        <w:rPr>
          <w:sz w:val="24"/>
          <w:szCs w:val="24"/>
        </w:rPr>
        <w:t xml:space="preserve"> </w:t>
      </w:r>
      <w:r w:rsidR="00292F83" w:rsidRPr="00410442">
        <w:rPr>
          <w:sz w:val="24"/>
          <w:szCs w:val="24"/>
        </w:rPr>
        <w:t>€</w:t>
      </w:r>
      <w:r w:rsidR="00594053" w:rsidRPr="00410442">
        <w:rPr>
          <w:sz w:val="24"/>
          <w:szCs w:val="24"/>
        </w:rPr>
        <w:t xml:space="preserve"> </w:t>
      </w:r>
      <w:r w:rsidR="00F3640D">
        <w:rPr>
          <w:sz w:val="24"/>
          <w:szCs w:val="24"/>
        </w:rPr>
        <w:t>75</w:t>
      </w:r>
      <w:r w:rsidR="00292F83" w:rsidRPr="00410442">
        <w:rPr>
          <w:sz w:val="24"/>
          <w:szCs w:val="24"/>
        </w:rPr>
        <w:t>.</w:t>
      </w:r>
      <w:r w:rsidR="00F3640D">
        <w:rPr>
          <w:sz w:val="24"/>
          <w:szCs w:val="24"/>
        </w:rPr>
        <w:t>5</w:t>
      </w:r>
      <w:r w:rsidR="00410442" w:rsidRPr="00410442">
        <w:rPr>
          <w:sz w:val="24"/>
          <w:szCs w:val="24"/>
        </w:rPr>
        <w:t>00</w:t>
      </w:r>
      <w:r w:rsidR="00594053" w:rsidRPr="00410442">
        <w:rPr>
          <w:sz w:val="24"/>
          <w:szCs w:val="24"/>
        </w:rPr>
        <w:t xml:space="preserve"> </w:t>
      </w:r>
      <w:r w:rsidR="00292F83" w:rsidRPr="00410442">
        <w:rPr>
          <w:sz w:val="24"/>
          <w:szCs w:val="24"/>
        </w:rPr>
        <w:t>anche</w:t>
      </w:r>
      <w:r w:rsidR="00594053" w:rsidRPr="00410442">
        <w:rPr>
          <w:sz w:val="24"/>
          <w:szCs w:val="24"/>
        </w:rPr>
        <w:t xml:space="preserve"> </w:t>
      </w:r>
      <w:r w:rsidR="00292F83" w:rsidRPr="00410442">
        <w:rPr>
          <w:sz w:val="24"/>
          <w:szCs w:val="24"/>
        </w:rPr>
        <w:t>se</w:t>
      </w:r>
      <w:r w:rsidR="00594053" w:rsidRPr="00410442">
        <w:rPr>
          <w:sz w:val="24"/>
          <w:szCs w:val="24"/>
        </w:rPr>
        <w:t xml:space="preserve"> </w:t>
      </w:r>
      <w:r w:rsidR="00292F83" w:rsidRPr="00410442">
        <w:rPr>
          <w:sz w:val="24"/>
          <w:szCs w:val="24"/>
        </w:rPr>
        <w:t>peggiorato</w:t>
      </w:r>
      <w:r w:rsidR="00594053" w:rsidRPr="00410442">
        <w:rPr>
          <w:sz w:val="24"/>
          <w:szCs w:val="24"/>
        </w:rPr>
        <w:t xml:space="preserve"> </w:t>
      </w:r>
      <w:r w:rsidR="00292F83" w:rsidRPr="00410442">
        <w:rPr>
          <w:sz w:val="24"/>
          <w:szCs w:val="24"/>
        </w:rPr>
        <w:t>dal</w:t>
      </w:r>
      <w:r w:rsidR="00594053" w:rsidRPr="00410442">
        <w:rPr>
          <w:sz w:val="24"/>
          <w:szCs w:val="24"/>
        </w:rPr>
        <w:t xml:space="preserve"> </w:t>
      </w:r>
      <w:r w:rsidR="00292F83" w:rsidRPr="00410442">
        <w:rPr>
          <w:sz w:val="24"/>
          <w:szCs w:val="24"/>
        </w:rPr>
        <w:t>saldo</w:t>
      </w:r>
      <w:r w:rsidR="00594053" w:rsidRPr="00410442">
        <w:rPr>
          <w:sz w:val="24"/>
          <w:szCs w:val="24"/>
        </w:rPr>
        <w:t xml:space="preserve"> </w:t>
      </w:r>
      <w:r w:rsidR="00292F83" w:rsidRPr="00410442">
        <w:rPr>
          <w:sz w:val="24"/>
          <w:szCs w:val="24"/>
        </w:rPr>
        <w:t>negativo</w:t>
      </w:r>
      <w:r w:rsidR="00594053" w:rsidRPr="00410442">
        <w:rPr>
          <w:sz w:val="24"/>
          <w:szCs w:val="24"/>
        </w:rPr>
        <w:t xml:space="preserve"> </w:t>
      </w:r>
      <w:r w:rsidR="00292F83" w:rsidRPr="00410442">
        <w:rPr>
          <w:sz w:val="24"/>
          <w:szCs w:val="24"/>
        </w:rPr>
        <w:t>della</w:t>
      </w:r>
      <w:r w:rsidR="00594053" w:rsidRPr="00410442">
        <w:rPr>
          <w:sz w:val="24"/>
          <w:szCs w:val="24"/>
        </w:rPr>
        <w:t xml:space="preserve"> </w:t>
      </w:r>
      <w:r w:rsidR="00292F83" w:rsidRPr="00410442">
        <w:rPr>
          <w:sz w:val="24"/>
          <w:szCs w:val="24"/>
        </w:rPr>
        <w:t>gestione</w:t>
      </w:r>
      <w:r w:rsidR="00594053" w:rsidRPr="00410442">
        <w:rPr>
          <w:sz w:val="24"/>
          <w:szCs w:val="24"/>
        </w:rPr>
        <w:t xml:space="preserve"> </w:t>
      </w:r>
      <w:r w:rsidR="00292F83" w:rsidRPr="00410442">
        <w:rPr>
          <w:sz w:val="24"/>
          <w:szCs w:val="24"/>
        </w:rPr>
        <w:t>finanziaria,</w:t>
      </w:r>
      <w:r w:rsidR="00594053" w:rsidRPr="00410442">
        <w:rPr>
          <w:sz w:val="24"/>
          <w:szCs w:val="24"/>
        </w:rPr>
        <w:t xml:space="preserve"> </w:t>
      </w:r>
      <w:r w:rsidR="00292F83" w:rsidRPr="00410442">
        <w:rPr>
          <w:sz w:val="24"/>
          <w:szCs w:val="24"/>
        </w:rPr>
        <w:t>pari</w:t>
      </w:r>
      <w:r w:rsidR="00594053" w:rsidRPr="00410442">
        <w:rPr>
          <w:sz w:val="24"/>
          <w:szCs w:val="24"/>
        </w:rPr>
        <w:t xml:space="preserve"> </w:t>
      </w:r>
      <w:r w:rsidR="00292F83" w:rsidRPr="00410442">
        <w:rPr>
          <w:sz w:val="24"/>
          <w:szCs w:val="24"/>
        </w:rPr>
        <w:t>ad</w:t>
      </w:r>
      <w:r w:rsidR="00594053" w:rsidRPr="00410442">
        <w:rPr>
          <w:sz w:val="24"/>
          <w:szCs w:val="24"/>
        </w:rPr>
        <w:t xml:space="preserve"> </w:t>
      </w:r>
      <w:r w:rsidR="00292F83" w:rsidRPr="00410442">
        <w:rPr>
          <w:sz w:val="24"/>
          <w:szCs w:val="24"/>
        </w:rPr>
        <w:t>€</w:t>
      </w:r>
      <w:r w:rsidR="00594053" w:rsidRPr="00410442">
        <w:rPr>
          <w:sz w:val="24"/>
          <w:szCs w:val="24"/>
        </w:rPr>
        <w:t xml:space="preserve"> </w:t>
      </w:r>
      <w:r w:rsidR="00F3640D">
        <w:rPr>
          <w:sz w:val="24"/>
          <w:szCs w:val="24"/>
        </w:rPr>
        <w:t>8</w:t>
      </w:r>
      <w:r w:rsidR="00292F83" w:rsidRPr="00410442">
        <w:rPr>
          <w:sz w:val="24"/>
          <w:szCs w:val="24"/>
        </w:rPr>
        <w:t>.</w:t>
      </w:r>
      <w:r w:rsidR="00410442" w:rsidRPr="00410442">
        <w:rPr>
          <w:sz w:val="24"/>
          <w:szCs w:val="24"/>
        </w:rPr>
        <w:t>9</w:t>
      </w:r>
      <w:r w:rsidR="00292F83" w:rsidRPr="00410442">
        <w:rPr>
          <w:sz w:val="24"/>
          <w:szCs w:val="24"/>
        </w:rPr>
        <w:t>00</w:t>
      </w:r>
      <w:r w:rsidR="00B33366" w:rsidRPr="00410442">
        <w:rPr>
          <w:sz w:val="24"/>
          <w:szCs w:val="24"/>
        </w:rPr>
        <w:t>,</w:t>
      </w:r>
      <w:r w:rsidR="00594053" w:rsidRPr="00410442">
        <w:rPr>
          <w:sz w:val="24"/>
          <w:szCs w:val="24"/>
        </w:rPr>
        <w:t xml:space="preserve"> </w:t>
      </w:r>
      <w:r w:rsidR="00292F83" w:rsidRPr="00410442">
        <w:rPr>
          <w:sz w:val="24"/>
          <w:szCs w:val="24"/>
        </w:rPr>
        <w:t>che</w:t>
      </w:r>
      <w:r w:rsidR="00594053" w:rsidRPr="00410442">
        <w:rPr>
          <w:sz w:val="24"/>
          <w:szCs w:val="24"/>
        </w:rPr>
        <w:t xml:space="preserve"> </w:t>
      </w:r>
      <w:r w:rsidR="00292F83" w:rsidRPr="00410442">
        <w:rPr>
          <w:sz w:val="24"/>
          <w:szCs w:val="24"/>
        </w:rPr>
        <w:t>conduce</w:t>
      </w:r>
      <w:r w:rsidR="00594053" w:rsidRPr="00410442">
        <w:rPr>
          <w:sz w:val="24"/>
          <w:szCs w:val="24"/>
        </w:rPr>
        <w:t xml:space="preserve"> </w:t>
      </w:r>
      <w:r w:rsidR="00292F83" w:rsidRPr="00410442">
        <w:rPr>
          <w:sz w:val="24"/>
          <w:szCs w:val="24"/>
        </w:rPr>
        <w:t>ad</w:t>
      </w:r>
      <w:r w:rsidR="00594053" w:rsidRPr="00410442">
        <w:rPr>
          <w:sz w:val="24"/>
          <w:szCs w:val="24"/>
        </w:rPr>
        <w:t xml:space="preserve"> </w:t>
      </w:r>
      <w:r w:rsidR="00292F83" w:rsidRPr="00410442">
        <w:rPr>
          <w:sz w:val="24"/>
          <w:szCs w:val="24"/>
        </w:rPr>
        <w:t>un</w:t>
      </w:r>
      <w:r w:rsidR="00594053" w:rsidRPr="00410442">
        <w:rPr>
          <w:sz w:val="24"/>
          <w:szCs w:val="24"/>
        </w:rPr>
        <w:t xml:space="preserve"> </w:t>
      </w:r>
      <w:r w:rsidR="00292F83" w:rsidRPr="00410442">
        <w:rPr>
          <w:sz w:val="24"/>
          <w:szCs w:val="24"/>
        </w:rPr>
        <w:t>utile</w:t>
      </w:r>
      <w:r w:rsidR="00594053" w:rsidRPr="00410442">
        <w:rPr>
          <w:sz w:val="24"/>
          <w:szCs w:val="24"/>
        </w:rPr>
        <w:t xml:space="preserve"> </w:t>
      </w:r>
      <w:r w:rsidR="00292F83" w:rsidRPr="00410442">
        <w:rPr>
          <w:sz w:val="24"/>
          <w:szCs w:val="24"/>
        </w:rPr>
        <w:t>lordo</w:t>
      </w:r>
      <w:r w:rsidR="00594053" w:rsidRPr="00410442">
        <w:rPr>
          <w:sz w:val="24"/>
          <w:szCs w:val="24"/>
        </w:rPr>
        <w:t xml:space="preserve"> </w:t>
      </w:r>
      <w:r w:rsidR="00292F83" w:rsidRPr="00410442">
        <w:rPr>
          <w:sz w:val="24"/>
          <w:szCs w:val="24"/>
        </w:rPr>
        <w:t>prima</w:t>
      </w:r>
      <w:r w:rsidR="00594053" w:rsidRPr="00410442">
        <w:rPr>
          <w:sz w:val="24"/>
          <w:szCs w:val="24"/>
        </w:rPr>
        <w:t xml:space="preserve"> </w:t>
      </w:r>
      <w:r w:rsidR="00292F83" w:rsidRPr="00410442">
        <w:rPr>
          <w:sz w:val="24"/>
          <w:szCs w:val="24"/>
        </w:rPr>
        <w:t>delle</w:t>
      </w:r>
      <w:r w:rsidR="00594053" w:rsidRPr="00410442">
        <w:rPr>
          <w:sz w:val="24"/>
          <w:szCs w:val="24"/>
        </w:rPr>
        <w:t xml:space="preserve"> </w:t>
      </w:r>
      <w:r w:rsidR="00292F83" w:rsidRPr="00410442">
        <w:rPr>
          <w:sz w:val="24"/>
          <w:szCs w:val="24"/>
        </w:rPr>
        <w:t>imposte</w:t>
      </w:r>
      <w:r w:rsidR="00594053" w:rsidRPr="00410442">
        <w:rPr>
          <w:sz w:val="24"/>
          <w:szCs w:val="24"/>
        </w:rPr>
        <w:t xml:space="preserve"> </w:t>
      </w:r>
      <w:r w:rsidR="00292F83" w:rsidRPr="00410442">
        <w:rPr>
          <w:sz w:val="24"/>
          <w:szCs w:val="24"/>
        </w:rPr>
        <w:t>di</w:t>
      </w:r>
      <w:r w:rsidR="00594053" w:rsidRPr="00410442">
        <w:rPr>
          <w:sz w:val="24"/>
          <w:szCs w:val="24"/>
        </w:rPr>
        <w:t xml:space="preserve"> </w:t>
      </w:r>
      <w:r w:rsidR="00292F83" w:rsidRPr="00410442">
        <w:rPr>
          <w:sz w:val="24"/>
          <w:szCs w:val="24"/>
        </w:rPr>
        <w:t>€</w:t>
      </w:r>
      <w:r w:rsidR="00594053" w:rsidRPr="00410442">
        <w:rPr>
          <w:sz w:val="24"/>
          <w:szCs w:val="24"/>
        </w:rPr>
        <w:t xml:space="preserve"> </w:t>
      </w:r>
      <w:r w:rsidR="00F3640D">
        <w:rPr>
          <w:sz w:val="24"/>
          <w:szCs w:val="24"/>
        </w:rPr>
        <w:t>66</w:t>
      </w:r>
      <w:r w:rsidR="00292F83" w:rsidRPr="00410442">
        <w:rPr>
          <w:sz w:val="24"/>
          <w:szCs w:val="24"/>
        </w:rPr>
        <w:t>.</w:t>
      </w:r>
      <w:r w:rsidR="00F3640D">
        <w:rPr>
          <w:sz w:val="24"/>
          <w:szCs w:val="24"/>
        </w:rPr>
        <w:t>6</w:t>
      </w:r>
      <w:r w:rsidR="00410442" w:rsidRPr="00410442">
        <w:rPr>
          <w:sz w:val="24"/>
          <w:szCs w:val="24"/>
        </w:rPr>
        <w:t>00</w:t>
      </w:r>
      <w:r w:rsidR="00292F83" w:rsidRPr="00410442">
        <w:rPr>
          <w:sz w:val="24"/>
          <w:szCs w:val="24"/>
        </w:rPr>
        <w:t>.</w:t>
      </w:r>
    </w:p>
    <w:p w:rsidR="00292F83" w:rsidRPr="00410442" w:rsidRDefault="00292F83" w:rsidP="008C7F14">
      <w:pPr>
        <w:ind w:firstLine="360"/>
        <w:jc w:val="both"/>
        <w:rPr>
          <w:sz w:val="24"/>
          <w:szCs w:val="24"/>
        </w:rPr>
      </w:pPr>
    </w:p>
    <w:p w:rsidR="00292F83" w:rsidRPr="00410442" w:rsidRDefault="00292F83" w:rsidP="00292F83">
      <w:pPr>
        <w:ind w:firstLine="360"/>
        <w:jc w:val="center"/>
        <w:rPr>
          <w:sz w:val="24"/>
          <w:szCs w:val="24"/>
        </w:rPr>
      </w:pPr>
      <w:r w:rsidRPr="00446642">
        <w:rPr>
          <w:sz w:val="24"/>
          <w:szCs w:val="24"/>
        </w:rPr>
        <w:t>*</w:t>
      </w:r>
      <w:r w:rsidR="00594053" w:rsidRPr="00446642">
        <w:rPr>
          <w:sz w:val="24"/>
          <w:szCs w:val="24"/>
        </w:rPr>
        <w:t xml:space="preserve">    </w:t>
      </w:r>
      <w:r w:rsidRPr="00446642">
        <w:rPr>
          <w:sz w:val="24"/>
          <w:szCs w:val="24"/>
        </w:rPr>
        <w:t>*</w:t>
      </w:r>
      <w:r w:rsidR="00594053" w:rsidRPr="00446642">
        <w:rPr>
          <w:sz w:val="24"/>
          <w:szCs w:val="24"/>
        </w:rPr>
        <w:t xml:space="preserve">    </w:t>
      </w:r>
      <w:r w:rsidRPr="00446642">
        <w:rPr>
          <w:sz w:val="24"/>
          <w:szCs w:val="24"/>
        </w:rPr>
        <w:t>*</w:t>
      </w:r>
    </w:p>
    <w:p w:rsidR="00885C0D" w:rsidRPr="00410442" w:rsidRDefault="00885C0D" w:rsidP="00292F83">
      <w:pPr>
        <w:ind w:firstLine="360"/>
        <w:jc w:val="center"/>
        <w:rPr>
          <w:sz w:val="24"/>
          <w:szCs w:val="24"/>
        </w:rPr>
      </w:pPr>
    </w:p>
    <w:p w:rsidR="00C83D56" w:rsidRPr="00CC5786" w:rsidRDefault="001C38F9" w:rsidP="00885C0D">
      <w:pPr>
        <w:ind w:firstLine="360"/>
        <w:jc w:val="both"/>
        <w:rPr>
          <w:sz w:val="24"/>
          <w:szCs w:val="24"/>
        </w:rPr>
      </w:pPr>
      <w:r w:rsidRPr="00CC5786">
        <w:rPr>
          <w:sz w:val="24"/>
          <w:szCs w:val="24"/>
        </w:rPr>
        <w:t>I</w:t>
      </w:r>
      <w:r w:rsidR="00C83D56" w:rsidRPr="00CC5786">
        <w:rPr>
          <w:sz w:val="24"/>
          <w:szCs w:val="24"/>
        </w:rPr>
        <w:t>l</w:t>
      </w:r>
      <w:r w:rsidR="00594053" w:rsidRPr="00CC5786">
        <w:rPr>
          <w:sz w:val="24"/>
          <w:szCs w:val="24"/>
        </w:rPr>
        <w:t xml:space="preserve"> </w:t>
      </w:r>
      <w:r w:rsidR="00C83D56" w:rsidRPr="00CC5786">
        <w:rPr>
          <w:sz w:val="24"/>
          <w:szCs w:val="24"/>
        </w:rPr>
        <w:t>Collegio</w:t>
      </w:r>
      <w:r w:rsidR="00594053" w:rsidRPr="00CC5786">
        <w:rPr>
          <w:sz w:val="24"/>
          <w:szCs w:val="24"/>
        </w:rPr>
        <w:t xml:space="preserve"> </w:t>
      </w:r>
      <w:r w:rsidR="00C83D56" w:rsidRPr="00CC5786">
        <w:rPr>
          <w:sz w:val="24"/>
          <w:szCs w:val="24"/>
        </w:rPr>
        <w:t>ha</w:t>
      </w:r>
      <w:r w:rsidR="00594053" w:rsidRPr="00CC5786">
        <w:rPr>
          <w:sz w:val="24"/>
          <w:szCs w:val="24"/>
        </w:rPr>
        <w:t xml:space="preserve"> </w:t>
      </w:r>
      <w:r w:rsidR="00C83D56" w:rsidRPr="00CC5786">
        <w:rPr>
          <w:sz w:val="24"/>
          <w:szCs w:val="24"/>
        </w:rPr>
        <w:t>accertato</w:t>
      </w:r>
      <w:r w:rsidR="00594053" w:rsidRPr="00CC5786">
        <w:rPr>
          <w:sz w:val="24"/>
          <w:szCs w:val="24"/>
        </w:rPr>
        <w:t xml:space="preserve"> </w:t>
      </w:r>
      <w:r w:rsidR="00C83D56" w:rsidRPr="00CC5786">
        <w:rPr>
          <w:sz w:val="24"/>
          <w:szCs w:val="24"/>
        </w:rPr>
        <w:t>che</w:t>
      </w:r>
      <w:r w:rsidR="00594053" w:rsidRPr="00CC5786">
        <w:rPr>
          <w:sz w:val="24"/>
          <w:szCs w:val="24"/>
        </w:rPr>
        <w:t xml:space="preserve"> </w:t>
      </w:r>
      <w:r w:rsidR="00C83D56" w:rsidRPr="00CC5786">
        <w:rPr>
          <w:sz w:val="24"/>
          <w:szCs w:val="24"/>
        </w:rPr>
        <w:t>il</w:t>
      </w:r>
      <w:r w:rsidR="00594053" w:rsidRPr="00CC5786">
        <w:rPr>
          <w:sz w:val="24"/>
          <w:szCs w:val="24"/>
        </w:rPr>
        <w:t xml:space="preserve"> </w:t>
      </w:r>
      <w:r w:rsidR="00C83D56" w:rsidRPr="00CC5786">
        <w:rPr>
          <w:sz w:val="24"/>
          <w:szCs w:val="24"/>
        </w:rPr>
        <w:t>valore</w:t>
      </w:r>
      <w:r w:rsidR="00594053" w:rsidRPr="00CC5786">
        <w:rPr>
          <w:sz w:val="24"/>
          <w:szCs w:val="24"/>
        </w:rPr>
        <w:t xml:space="preserve"> </w:t>
      </w:r>
      <w:r w:rsidR="00C83D56" w:rsidRPr="00CC5786">
        <w:rPr>
          <w:sz w:val="24"/>
          <w:szCs w:val="24"/>
        </w:rPr>
        <w:t>della</w:t>
      </w:r>
      <w:r w:rsidR="00594053" w:rsidRPr="00CC5786">
        <w:rPr>
          <w:sz w:val="24"/>
          <w:szCs w:val="24"/>
        </w:rPr>
        <w:t xml:space="preserve"> </w:t>
      </w:r>
      <w:r w:rsidR="00C83D56" w:rsidRPr="00CC5786">
        <w:rPr>
          <w:sz w:val="24"/>
          <w:szCs w:val="24"/>
        </w:rPr>
        <w:t>produzione,</w:t>
      </w:r>
      <w:r w:rsidR="00594053" w:rsidRPr="00CC5786">
        <w:rPr>
          <w:sz w:val="24"/>
          <w:szCs w:val="24"/>
        </w:rPr>
        <w:t xml:space="preserve"> </w:t>
      </w:r>
      <w:r w:rsidR="00C83D56" w:rsidRPr="00CC5786">
        <w:rPr>
          <w:sz w:val="24"/>
          <w:szCs w:val="24"/>
        </w:rPr>
        <w:t>pari</w:t>
      </w:r>
      <w:r w:rsidR="00594053" w:rsidRPr="00CC5786">
        <w:rPr>
          <w:sz w:val="24"/>
          <w:szCs w:val="24"/>
        </w:rPr>
        <w:t xml:space="preserve"> </w:t>
      </w:r>
      <w:r w:rsidR="00C83D56" w:rsidRPr="00CC5786">
        <w:rPr>
          <w:sz w:val="24"/>
          <w:szCs w:val="24"/>
        </w:rPr>
        <w:t>ad</w:t>
      </w:r>
      <w:r w:rsidR="00594053" w:rsidRPr="00CC5786">
        <w:rPr>
          <w:sz w:val="24"/>
          <w:szCs w:val="24"/>
        </w:rPr>
        <w:t xml:space="preserve"> </w:t>
      </w:r>
      <w:r w:rsidR="00C83D56" w:rsidRPr="00CC5786">
        <w:rPr>
          <w:sz w:val="24"/>
          <w:szCs w:val="24"/>
        </w:rPr>
        <w:t>€</w:t>
      </w:r>
      <w:r w:rsidR="00594053" w:rsidRPr="00CC5786">
        <w:rPr>
          <w:sz w:val="24"/>
          <w:szCs w:val="24"/>
        </w:rPr>
        <w:t xml:space="preserve"> </w:t>
      </w:r>
      <w:r w:rsidR="00F96C07" w:rsidRPr="00CC5786">
        <w:rPr>
          <w:sz w:val="24"/>
          <w:szCs w:val="24"/>
        </w:rPr>
        <w:t>9</w:t>
      </w:r>
      <w:r w:rsidR="00F3640D">
        <w:rPr>
          <w:sz w:val="24"/>
          <w:szCs w:val="24"/>
        </w:rPr>
        <w:t>74</w:t>
      </w:r>
      <w:r w:rsidR="00C83D56" w:rsidRPr="00CC5786">
        <w:rPr>
          <w:sz w:val="24"/>
          <w:szCs w:val="24"/>
        </w:rPr>
        <w:t>.</w:t>
      </w:r>
      <w:r w:rsidR="00F3640D">
        <w:rPr>
          <w:sz w:val="24"/>
          <w:szCs w:val="24"/>
        </w:rPr>
        <w:t>0</w:t>
      </w:r>
      <w:r w:rsidRPr="00CC5786">
        <w:rPr>
          <w:sz w:val="24"/>
          <w:szCs w:val="24"/>
        </w:rPr>
        <w:t>00,</w:t>
      </w:r>
      <w:r w:rsidR="00594053" w:rsidRPr="00CC5786">
        <w:rPr>
          <w:sz w:val="24"/>
          <w:szCs w:val="24"/>
        </w:rPr>
        <w:t xml:space="preserve"> </w:t>
      </w:r>
      <w:r w:rsidRPr="00CC5786">
        <w:rPr>
          <w:sz w:val="24"/>
          <w:szCs w:val="24"/>
        </w:rPr>
        <w:t>prevede</w:t>
      </w:r>
      <w:r w:rsidR="00594053" w:rsidRPr="00CC5786">
        <w:rPr>
          <w:sz w:val="24"/>
          <w:szCs w:val="24"/>
        </w:rPr>
        <w:t xml:space="preserve"> </w:t>
      </w:r>
      <w:r w:rsidRPr="00CC5786">
        <w:rPr>
          <w:sz w:val="24"/>
          <w:szCs w:val="24"/>
        </w:rPr>
        <w:t>un</w:t>
      </w:r>
      <w:r w:rsidR="00594053" w:rsidRPr="00CC5786">
        <w:rPr>
          <w:sz w:val="24"/>
          <w:szCs w:val="24"/>
        </w:rPr>
        <w:t xml:space="preserve"> </w:t>
      </w:r>
      <w:r w:rsidR="00624996" w:rsidRPr="00CC5786">
        <w:rPr>
          <w:sz w:val="24"/>
          <w:szCs w:val="24"/>
        </w:rPr>
        <w:t>decremento</w:t>
      </w:r>
      <w:r w:rsidR="00594053" w:rsidRPr="00CC5786">
        <w:rPr>
          <w:sz w:val="24"/>
          <w:szCs w:val="24"/>
        </w:rPr>
        <w:t xml:space="preserve"> </w:t>
      </w:r>
      <w:r w:rsidR="00C83D56" w:rsidRPr="00CC5786">
        <w:rPr>
          <w:sz w:val="24"/>
          <w:szCs w:val="24"/>
        </w:rPr>
        <w:t>di</w:t>
      </w:r>
      <w:r w:rsidR="00594053" w:rsidRPr="00CC5786">
        <w:rPr>
          <w:sz w:val="24"/>
          <w:szCs w:val="24"/>
        </w:rPr>
        <w:t xml:space="preserve"> </w:t>
      </w:r>
      <w:r w:rsidR="00C83D56" w:rsidRPr="00CC5786">
        <w:rPr>
          <w:sz w:val="24"/>
          <w:szCs w:val="24"/>
        </w:rPr>
        <w:t>€</w:t>
      </w:r>
      <w:r w:rsidR="00594053" w:rsidRPr="00CC5786">
        <w:rPr>
          <w:sz w:val="24"/>
          <w:szCs w:val="24"/>
        </w:rPr>
        <w:t xml:space="preserve"> </w:t>
      </w:r>
      <w:r w:rsidR="00410442" w:rsidRPr="00CC5786">
        <w:rPr>
          <w:sz w:val="24"/>
          <w:szCs w:val="24"/>
        </w:rPr>
        <w:t>6</w:t>
      </w:r>
      <w:r w:rsidR="007259BB" w:rsidRPr="00CC5786">
        <w:rPr>
          <w:sz w:val="24"/>
          <w:szCs w:val="24"/>
        </w:rPr>
        <w:t>.</w:t>
      </w:r>
      <w:r w:rsidR="00F3640D">
        <w:rPr>
          <w:sz w:val="24"/>
          <w:szCs w:val="24"/>
        </w:rPr>
        <w:t xml:space="preserve">050 </w:t>
      </w:r>
      <w:r w:rsidR="00594053" w:rsidRPr="00CC5786">
        <w:rPr>
          <w:sz w:val="24"/>
          <w:szCs w:val="24"/>
        </w:rPr>
        <w:t xml:space="preserve"> </w:t>
      </w:r>
      <w:r w:rsidR="00C83D56" w:rsidRPr="00CC5786">
        <w:rPr>
          <w:sz w:val="24"/>
          <w:szCs w:val="24"/>
        </w:rPr>
        <w:t>rispetto</w:t>
      </w:r>
      <w:r w:rsidR="00594053" w:rsidRPr="00CC5786">
        <w:rPr>
          <w:sz w:val="24"/>
          <w:szCs w:val="24"/>
        </w:rPr>
        <w:t xml:space="preserve"> </w:t>
      </w:r>
      <w:r w:rsidR="00C83D56" w:rsidRPr="00CC5786">
        <w:rPr>
          <w:sz w:val="24"/>
          <w:szCs w:val="24"/>
        </w:rPr>
        <w:t>al</w:t>
      </w:r>
      <w:r w:rsidR="00594053" w:rsidRPr="00CC5786">
        <w:rPr>
          <w:sz w:val="24"/>
          <w:szCs w:val="24"/>
        </w:rPr>
        <w:t xml:space="preserve"> </w:t>
      </w:r>
      <w:r w:rsidR="00E87D75" w:rsidRPr="00CC5786">
        <w:rPr>
          <w:sz w:val="24"/>
          <w:szCs w:val="24"/>
        </w:rPr>
        <w:t>budget</w:t>
      </w:r>
      <w:r w:rsidR="00594053" w:rsidRPr="00CC5786">
        <w:rPr>
          <w:sz w:val="24"/>
          <w:szCs w:val="24"/>
        </w:rPr>
        <w:t xml:space="preserve"> </w:t>
      </w:r>
      <w:r w:rsidR="00C83D56" w:rsidRPr="00CC5786">
        <w:rPr>
          <w:sz w:val="24"/>
          <w:szCs w:val="24"/>
        </w:rPr>
        <w:t>assestato</w:t>
      </w:r>
      <w:r w:rsidR="00594053" w:rsidRPr="00CC5786">
        <w:rPr>
          <w:sz w:val="24"/>
          <w:szCs w:val="24"/>
        </w:rPr>
        <w:t xml:space="preserve"> </w:t>
      </w:r>
      <w:r w:rsidR="00C83D56" w:rsidRPr="00CC5786">
        <w:rPr>
          <w:sz w:val="24"/>
          <w:szCs w:val="24"/>
        </w:rPr>
        <w:t>201</w:t>
      </w:r>
      <w:r w:rsidR="00F3640D">
        <w:rPr>
          <w:sz w:val="24"/>
          <w:szCs w:val="24"/>
        </w:rPr>
        <w:t>8</w:t>
      </w:r>
      <w:r w:rsidR="00594053" w:rsidRPr="00CC5786">
        <w:rPr>
          <w:sz w:val="24"/>
          <w:szCs w:val="24"/>
        </w:rPr>
        <w:t xml:space="preserve"> </w:t>
      </w:r>
      <w:r w:rsidR="00C83D56" w:rsidRPr="00CC5786">
        <w:rPr>
          <w:sz w:val="24"/>
          <w:szCs w:val="24"/>
        </w:rPr>
        <w:t>(€</w:t>
      </w:r>
      <w:r w:rsidR="00594053" w:rsidRPr="00CC5786">
        <w:rPr>
          <w:sz w:val="24"/>
          <w:szCs w:val="24"/>
        </w:rPr>
        <w:t xml:space="preserve"> </w:t>
      </w:r>
      <w:r w:rsidR="00F3640D">
        <w:rPr>
          <w:sz w:val="24"/>
          <w:szCs w:val="24"/>
        </w:rPr>
        <w:t>980.050</w:t>
      </w:r>
      <w:r w:rsidR="00C83D56" w:rsidRPr="00CC5786">
        <w:rPr>
          <w:sz w:val="24"/>
          <w:szCs w:val="24"/>
        </w:rPr>
        <w:t>)</w:t>
      </w:r>
      <w:r w:rsidR="00594053" w:rsidRPr="00CC5786">
        <w:rPr>
          <w:sz w:val="24"/>
          <w:szCs w:val="24"/>
        </w:rPr>
        <w:t xml:space="preserve"> </w:t>
      </w:r>
      <w:r w:rsidR="00C83D56" w:rsidRPr="00CC5786">
        <w:rPr>
          <w:sz w:val="24"/>
          <w:szCs w:val="24"/>
        </w:rPr>
        <w:t>con</w:t>
      </w:r>
      <w:r w:rsidR="00594053" w:rsidRPr="00CC5786">
        <w:rPr>
          <w:sz w:val="24"/>
          <w:szCs w:val="24"/>
        </w:rPr>
        <w:t xml:space="preserve"> </w:t>
      </w:r>
      <w:r w:rsidR="00C83D56" w:rsidRPr="00CC5786">
        <w:rPr>
          <w:sz w:val="24"/>
          <w:szCs w:val="24"/>
        </w:rPr>
        <w:t>un</w:t>
      </w:r>
      <w:r w:rsidR="00624996" w:rsidRPr="00CC5786">
        <w:rPr>
          <w:sz w:val="24"/>
          <w:szCs w:val="24"/>
        </w:rPr>
        <w:t>a</w:t>
      </w:r>
      <w:r w:rsidR="00594053" w:rsidRPr="00CC5786">
        <w:rPr>
          <w:sz w:val="24"/>
          <w:szCs w:val="24"/>
        </w:rPr>
        <w:t xml:space="preserve"> </w:t>
      </w:r>
      <w:r w:rsidR="00F3640D">
        <w:rPr>
          <w:sz w:val="24"/>
          <w:szCs w:val="24"/>
        </w:rPr>
        <w:t xml:space="preserve">lieve </w:t>
      </w:r>
      <w:r w:rsidR="00624996" w:rsidRPr="00CC5786">
        <w:rPr>
          <w:sz w:val="24"/>
          <w:szCs w:val="24"/>
        </w:rPr>
        <w:t>diminuzione</w:t>
      </w:r>
      <w:r w:rsidR="00594053" w:rsidRPr="00CC5786">
        <w:rPr>
          <w:sz w:val="24"/>
          <w:szCs w:val="24"/>
        </w:rPr>
        <w:t xml:space="preserve"> </w:t>
      </w:r>
      <w:r w:rsidR="00C83D56" w:rsidRPr="00CC5786">
        <w:rPr>
          <w:sz w:val="24"/>
          <w:szCs w:val="24"/>
        </w:rPr>
        <w:t>pari</w:t>
      </w:r>
      <w:r w:rsidR="00594053" w:rsidRPr="00CC5786">
        <w:rPr>
          <w:sz w:val="24"/>
          <w:szCs w:val="24"/>
        </w:rPr>
        <w:t xml:space="preserve"> </w:t>
      </w:r>
      <w:r w:rsidR="00C83D56" w:rsidRPr="00CC5786">
        <w:rPr>
          <w:sz w:val="24"/>
          <w:szCs w:val="24"/>
        </w:rPr>
        <w:t>al</w:t>
      </w:r>
      <w:r w:rsidR="00594053" w:rsidRPr="00CC5786">
        <w:rPr>
          <w:sz w:val="24"/>
          <w:szCs w:val="24"/>
        </w:rPr>
        <w:t xml:space="preserve"> </w:t>
      </w:r>
      <w:r w:rsidR="00F3640D">
        <w:rPr>
          <w:sz w:val="24"/>
          <w:szCs w:val="24"/>
        </w:rPr>
        <w:t>0</w:t>
      </w:r>
      <w:r w:rsidR="001D4E25" w:rsidRPr="00CC5786">
        <w:rPr>
          <w:sz w:val="24"/>
          <w:szCs w:val="24"/>
        </w:rPr>
        <w:t>,</w:t>
      </w:r>
      <w:r w:rsidR="00F3640D">
        <w:rPr>
          <w:sz w:val="24"/>
          <w:szCs w:val="24"/>
        </w:rPr>
        <w:t>62</w:t>
      </w:r>
      <w:r w:rsidR="00C83D56" w:rsidRPr="00CC5786">
        <w:rPr>
          <w:sz w:val="24"/>
          <w:szCs w:val="24"/>
        </w:rPr>
        <w:t>%.</w:t>
      </w:r>
    </w:p>
    <w:p w:rsidR="00C83D56" w:rsidRPr="00B6165C" w:rsidRDefault="00C83D56" w:rsidP="00885C0D">
      <w:pPr>
        <w:ind w:firstLine="360"/>
        <w:jc w:val="both"/>
        <w:rPr>
          <w:sz w:val="24"/>
          <w:szCs w:val="24"/>
          <w:highlight w:val="yellow"/>
        </w:rPr>
      </w:pPr>
    </w:p>
    <w:p w:rsidR="00C83D56" w:rsidRPr="00CC5786" w:rsidRDefault="00C83D56" w:rsidP="00885C0D">
      <w:pPr>
        <w:ind w:firstLine="360"/>
        <w:jc w:val="both"/>
        <w:rPr>
          <w:sz w:val="24"/>
          <w:szCs w:val="24"/>
        </w:rPr>
      </w:pPr>
      <w:r w:rsidRPr="00CC5786">
        <w:rPr>
          <w:sz w:val="24"/>
          <w:szCs w:val="24"/>
        </w:rPr>
        <w:t>Al</w:t>
      </w:r>
      <w:r w:rsidR="00594053" w:rsidRPr="00CC5786">
        <w:rPr>
          <w:sz w:val="24"/>
          <w:szCs w:val="24"/>
        </w:rPr>
        <w:t xml:space="preserve"> </w:t>
      </w:r>
      <w:r w:rsidRPr="00CC5786">
        <w:rPr>
          <w:sz w:val="24"/>
          <w:szCs w:val="24"/>
        </w:rPr>
        <w:t>riguardo,</w:t>
      </w:r>
      <w:r w:rsidR="00594053" w:rsidRPr="00CC5786">
        <w:rPr>
          <w:sz w:val="24"/>
          <w:szCs w:val="24"/>
        </w:rPr>
        <w:t xml:space="preserve"> </w:t>
      </w:r>
      <w:r w:rsidRPr="00CC5786">
        <w:rPr>
          <w:sz w:val="24"/>
          <w:szCs w:val="24"/>
        </w:rPr>
        <w:t>il</w:t>
      </w:r>
      <w:r w:rsidR="00594053" w:rsidRPr="00CC5786">
        <w:rPr>
          <w:sz w:val="24"/>
          <w:szCs w:val="24"/>
        </w:rPr>
        <w:t xml:space="preserve"> </w:t>
      </w:r>
      <w:r w:rsidRPr="00CC5786">
        <w:rPr>
          <w:sz w:val="24"/>
          <w:szCs w:val="24"/>
        </w:rPr>
        <w:t>Collegio</w:t>
      </w:r>
      <w:r w:rsidR="00594053" w:rsidRPr="00CC5786">
        <w:rPr>
          <w:sz w:val="24"/>
          <w:szCs w:val="24"/>
        </w:rPr>
        <w:t xml:space="preserve"> </w:t>
      </w:r>
      <w:r w:rsidRPr="00CC5786">
        <w:rPr>
          <w:sz w:val="24"/>
          <w:szCs w:val="24"/>
        </w:rPr>
        <w:t>ha</w:t>
      </w:r>
      <w:r w:rsidR="00594053" w:rsidRPr="00CC5786">
        <w:rPr>
          <w:sz w:val="24"/>
          <w:szCs w:val="24"/>
        </w:rPr>
        <w:t xml:space="preserve"> </w:t>
      </w:r>
      <w:r w:rsidRPr="00CC5786">
        <w:rPr>
          <w:sz w:val="24"/>
          <w:szCs w:val="24"/>
        </w:rPr>
        <w:t>accertato</w:t>
      </w:r>
      <w:r w:rsidR="00594053" w:rsidRPr="00CC5786">
        <w:rPr>
          <w:sz w:val="24"/>
          <w:szCs w:val="24"/>
        </w:rPr>
        <w:t xml:space="preserve"> </w:t>
      </w:r>
      <w:r w:rsidRPr="00CC5786">
        <w:rPr>
          <w:sz w:val="24"/>
          <w:szCs w:val="24"/>
        </w:rPr>
        <w:t>che,</w:t>
      </w:r>
      <w:r w:rsidR="00594053" w:rsidRPr="00CC5786">
        <w:rPr>
          <w:sz w:val="24"/>
          <w:szCs w:val="24"/>
        </w:rPr>
        <w:t xml:space="preserve"> </w:t>
      </w:r>
      <w:r w:rsidRPr="00CC5786">
        <w:rPr>
          <w:sz w:val="24"/>
          <w:szCs w:val="24"/>
        </w:rPr>
        <w:t>come</w:t>
      </w:r>
      <w:r w:rsidR="00594053" w:rsidRPr="00CC5786">
        <w:rPr>
          <w:sz w:val="24"/>
          <w:szCs w:val="24"/>
        </w:rPr>
        <w:t xml:space="preserve"> </w:t>
      </w:r>
      <w:r w:rsidRPr="00CC5786">
        <w:rPr>
          <w:sz w:val="24"/>
          <w:szCs w:val="24"/>
        </w:rPr>
        <w:t>esposto</w:t>
      </w:r>
      <w:r w:rsidR="00594053" w:rsidRPr="00CC5786">
        <w:rPr>
          <w:sz w:val="24"/>
          <w:szCs w:val="24"/>
        </w:rPr>
        <w:t xml:space="preserve"> </w:t>
      </w:r>
      <w:r w:rsidRPr="00CC5786">
        <w:rPr>
          <w:sz w:val="24"/>
          <w:szCs w:val="24"/>
        </w:rPr>
        <w:t>nella</w:t>
      </w:r>
      <w:r w:rsidR="00594053" w:rsidRPr="00CC5786">
        <w:rPr>
          <w:sz w:val="24"/>
          <w:szCs w:val="24"/>
        </w:rPr>
        <w:t xml:space="preserve"> </w:t>
      </w:r>
      <w:r w:rsidRPr="00CC5786">
        <w:rPr>
          <w:sz w:val="24"/>
          <w:szCs w:val="24"/>
        </w:rPr>
        <w:t>relazione</w:t>
      </w:r>
      <w:r w:rsidR="00594053" w:rsidRPr="00CC5786">
        <w:rPr>
          <w:sz w:val="24"/>
          <w:szCs w:val="24"/>
        </w:rPr>
        <w:t xml:space="preserve"> </w:t>
      </w:r>
      <w:r w:rsidRPr="00CC5786">
        <w:rPr>
          <w:sz w:val="24"/>
          <w:szCs w:val="24"/>
        </w:rPr>
        <w:t>del</w:t>
      </w:r>
      <w:r w:rsidR="00594053" w:rsidRPr="00CC5786">
        <w:rPr>
          <w:sz w:val="24"/>
          <w:szCs w:val="24"/>
        </w:rPr>
        <w:t xml:space="preserve"> </w:t>
      </w:r>
      <w:r w:rsidRPr="00CC5786">
        <w:rPr>
          <w:sz w:val="24"/>
          <w:szCs w:val="24"/>
        </w:rPr>
        <w:t>Presidente</w:t>
      </w:r>
      <w:r w:rsidR="00594053" w:rsidRPr="00CC5786">
        <w:rPr>
          <w:sz w:val="24"/>
          <w:szCs w:val="24"/>
        </w:rPr>
        <w:t xml:space="preserve"> </w:t>
      </w:r>
      <w:r w:rsidRPr="00CC5786">
        <w:rPr>
          <w:sz w:val="24"/>
          <w:szCs w:val="24"/>
        </w:rPr>
        <w:t>dell’Ente,</w:t>
      </w:r>
      <w:r w:rsidR="00594053" w:rsidRPr="00CC5786">
        <w:rPr>
          <w:sz w:val="24"/>
          <w:szCs w:val="24"/>
        </w:rPr>
        <w:t xml:space="preserve"> </w:t>
      </w:r>
      <w:r w:rsidRPr="00CC5786">
        <w:rPr>
          <w:sz w:val="24"/>
          <w:szCs w:val="24"/>
        </w:rPr>
        <w:t>il</w:t>
      </w:r>
      <w:r w:rsidR="00594053" w:rsidRPr="00CC5786">
        <w:rPr>
          <w:sz w:val="24"/>
          <w:szCs w:val="24"/>
        </w:rPr>
        <w:t xml:space="preserve"> </w:t>
      </w:r>
      <w:r w:rsidRPr="00CC5786">
        <w:rPr>
          <w:sz w:val="24"/>
          <w:szCs w:val="24"/>
        </w:rPr>
        <w:t>valore</w:t>
      </w:r>
      <w:r w:rsidR="00594053" w:rsidRPr="00CC5786">
        <w:rPr>
          <w:sz w:val="24"/>
          <w:szCs w:val="24"/>
        </w:rPr>
        <w:t xml:space="preserve"> </w:t>
      </w:r>
      <w:r w:rsidRPr="00CC5786">
        <w:rPr>
          <w:sz w:val="24"/>
          <w:szCs w:val="24"/>
        </w:rPr>
        <w:t>della</w:t>
      </w:r>
      <w:r w:rsidR="00594053" w:rsidRPr="00CC5786">
        <w:rPr>
          <w:sz w:val="24"/>
          <w:szCs w:val="24"/>
        </w:rPr>
        <w:t xml:space="preserve"> </w:t>
      </w:r>
      <w:r w:rsidRPr="00CC5786">
        <w:rPr>
          <w:sz w:val="24"/>
          <w:szCs w:val="24"/>
        </w:rPr>
        <w:t>produzione</w:t>
      </w:r>
      <w:r w:rsidR="00594053" w:rsidRPr="00CC5786">
        <w:rPr>
          <w:sz w:val="24"/>
          <w:szCs w:val="24"/>
        </w:rPr>
        <w:t xml:space="preserve"> </w:t>
      </w:r>
      <w:r w:rsidRPr="00CC5786">
        <w:rPr>
          <w:sz w:val="24"/>
          <w:szCs w:val="24"/>
        </w:rPr>
        <w:t>è</w:t>
      </w:r>
      <w:r w:rsidR="00594053" w:rsidRPr="00CC5786">
        <w:rPr>
          <w:sz w:val="24"/>
          <w:szCs w:val="24"/>
        </w:rPr>
        <w:t xml:space="preserve"> </w:t>
      </w:r>
      <w:r w:rsidRPr="00CC5786">
        <w:rPr>
          <w:sz w:val="24"/>
          <w:szCs w:val="24"/>
        </w:rPr>
        <w:t>previsto</w:t>
      </w:r>
      <w:r w:rsidR="00594053" w:rsidRPr="00CC5786">
        <w:rPr>
          <w:sz w:val="24"/>
          <w:szCs w:val="24"/>
        </w:rPr>
        <w:t xml:space="preserve"> </w:t>
      </w:r>
      <w:r w:rsidRPr="00CC5786">
        <w:rPr>
          <w:sz w:val="24"/>
          <w:szCs w:val="24"/>
        </w:rPr>
        <w:t>in</w:t>
      </w:r>
      <w:r w:rsidR="00594053" w:rsidRPr="00CC5786">
        <w:rPr>
          <w:sz w:val="24"/>
          <w:szCs w:val="24"/>
        </w:rPr>
        <w:t xml:space="preserve"> </w:t>
      </w:r>
      <w:r w:rsidR="001D4E25" w:rsidRPr="00CC5786">
        <w:rPr>
          <w:sz w:val="24"/>
          <w:szCs w:val="24"/>
        </w:rPr>
        <w:t>variazione</w:t>
      </w:r>
      <w:r w:rsidR="00594053" w:rsidRPr="00CC5786">
        <w:rPr>
          <w:sz w:val="24"/>
          <w:szCs w:val="24"/>
        </w:rPr>
        <w:t xml:space="preserve"> </w:t>
      </w:r>
      <w:r w:rsidRPr="00CC5786">
        <w:rPr>
          <w:sz w:val="24"/>
          <w:szCs w:val="24"/>
        </w:rPr>
        <w:t>per</w:t>
      </w:r>
      <w:r w:rsidR="00594053" w:rsidRPr="00CC5786">
        <w:rPr>
          <w:sz w:val="24"/>
          <w:szCs w:val="24"/>
        </w:rPr>
        <w:t xml:space="preserve"> </w:t>
      </w:r>
      <w:r w:rsidRPr="00CC5786">
        <w:rPr>
          <w:sz w:val="24"/>
          <w:szCs w:val="24"/>
        </w:rPr>
        <w:t>effetto:</w:t>
      </w:r>
    </w:p>
    <w:p w:rsidR="00151F42" w:rsidRPr="00CC5786" w:rsidRDefault="00151F42" w:rsidP="00885C0D">
      <w:pPr>
        <w:ind w:firstLine="360"/>
        <w:jc w:val="both"/>
        <w:rPr>
          <w:sz w:val="24"/>
          <w:szCs w:val="24"/>
        </w:rPr>
      </w:pPr>
    </w:p>
    <w:p w:rsidR="00C47587" w:rsidRDefault="00C47587" w:rsidP="00C47587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jc w:val="both"/>
        <w:rPr>
          <w:sz w:val="24"/>
          <w:szCs w:val="24"/>
        </w:rPr>
      </w:pPr>
      <w:r w:rsidRPr="00C47587">
        <w:rPr>
          <w:sz w:val="24"/>
          <w:szCs w:val="24"/>
        </w:rPr>
        <w:t xml:space="preserve">dall'azzeramento delle provvigioni da SARA Assicurazioni per le campagne promozionali non preventivamente determinabili pari ad € </w:t>
      </w:r>
      <w:r w:rsidR="00446642">
        <w:rPr>
          <w:sz w:val="24"/>
          <w:szCs w:val="24"/>
        </w:rPr>
        <w:t>6</w:t>
      </w:r>
      <w:r w:rsidRPr="00C47587">
        <w:rPr>
          <w:sz w:val="24"/>
          <w:szCs w:val="24"/>
        </w:rPr>
        <w:t>.</w:t>
      </w:r>
      <w:r w:rsidR="00446642">
        <w:rPr>
          <w:sz w:val="24"/>
          <w:szCs w:val="24"/>
        </w:rPr>
        <w:t>150</w:t>
      </w:r>
      <w:r w:rsidRPr="00C47587">
        <w:rPr>
          <w:sz w:val="24"/>
          <w:szCs w:val="24"/>
        </w:rPr>
        <w:t>;</w:t>
      </w:r>
    </w:p>
    <w:p w:rsidR="0031685C" w:rsidRDefault="00133CEE" w:rsidP="00197523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jc w:val="both"/>
        <w:rPr>
          <w:sz w:val="24"/>
          <w:szCs w:val="24"/>
        </w:rPr>
      </w:pPr>
      <w:r w:rsidRPr="00C47587">
        <w:rPr>
          <w:sz w:val="24"/>
          <w:szCs w:val="24"/>
        </w:rPr>
        <w:t>d</w:t>
      </w:r>
      <w:r w:rsidR="00446642">
        <w:rPr>
          <w:sz w:val="24"/>
          <w:szCs w:val="24"/>
        </w:rPr>
        <w:t xml:space="preserve">a minori proventi per il servizio "Bollo Facile" </w:t>
      </w:r>
      <w:r w:rsidRPr="00C47587">
        <w:rPr>
          <w:sz w:val="24"/>
          <w:szCs w:val="24"/>
        </w:rPr>
        <w:t>p</w:t>
      </w:r>
      <w:r w:rsidR="00B63C45">
        <w:rPr>
          <w:sz w:val="24"/>
          <w:szCs w:val="24"/>
        </w:rPr>
        <w:t>ari ad</w:t>
      </w:r>
      <w:r w:rsidRPr="00C47587">
        <w:rPr>
          <w:sz w:val="24"/>
          <w:szCs w:val="24"/>
        </w:rPr>
        <w:t xml:space="preserve"> € </w:t>
      </w:r>
      <w:r w:rsidR="006F5C52" w:rsidRPr="00C47587">
        <w:rPr>
          <w:sz w:val="24"/>
          <w:szCs w:val="24"/>
        </w:rPr>
        <w:t>2</w:t>
      </w:r>
      <w:r w:rsidRPr="00C47587">
        <w:rPr>
          <w:sz w:val="24"/>
          <w:szCs w:val="24"/>
        </w:rPr>
        <w:t>.</w:t>
      </w:r>
      <w:r w:rsidR="00C47587" w:rsidRPr="00C47587">
        <w:rPr>
          <w:sz w:val="24"/>
          <w:szCs w:val="24"/>
        </w:rPr>
        <w:t>0</w:t>
      </w:r>
      <w:r w:rsidRPr="00C47587">
        <w:rPr>
          <w:sz w:val="24"/>
          <w:szCs w:val="24"/>
        </w:rPr>
        <w:t>00</w:t>
      </w:r>
      <w:r w:rsidR="0031685C" w:rsidRPr="00C47587">
        <w:rPr>
          <w:sz w:val="24"/>
          <w:szCs w:val="24"/>
        </w:rPr>
        <w:t>;</w:t>
      </w:r>
    </w:p>
    <w:p w:rsidR="00446642" w:rsidRDefault="00446642" w:rsidP="00197523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 minori rimborsi diversi </w:t>
      </w:r>
      <w:r w:rsidR="00B63C45">
        <w:rPr>
          <w:sz w:val="24"/>
          <w:szCs w:val="24"/>
        </w:rPr>
        <w:t xml:space="preserve">pari ad </w:t>
      </w:r>
      <w:r>
        <w:rPr>
          <w:sz w:val="24"/>
          <w:szCs w:val="24"/>
        </w:rPr>
        <w:t>€ 2.000;</w:t>
      </w:r>
    </w:p>
    <w:p w:rsidR="00446642" w:rsidRPr="00C47587" w:rsidRDefault="00446642" w:rsidP="00197523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 minori sopravvenienze attive </w:t>
      </w:r>
      <w:r w:rsidR="00B63C45">
        <w:rPr>
          <w:sz w:val="24"/>
          <w:szCs w:val="24"/>
        </w:rPr>
        <w:t xml:space="preserve">pari ad </w:t>
      </w:r>
      <w:r>
        <w:rPr>
          <w:sz w:val="24"/>
          <w:szCs w:val="24"/>
        </w:rPr>
        <w:t>€ 1.500;</w:t>
      </w:r>
    </w:p>
    <w:p w:rsidR="00371C67" w:rsidRPr="00136E84" w:rsidRDefault="00371C67" w:rsidP="00064E0D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jc w:val="both"/>
        <w:rPr>
          <w:sz w:val="24"/>
          <w:szCs w:val="24"/>
        </w:rPr>
      </w:pPr>
      <w:r w:rsidRPr="00136E84">
        <w:rPr>
          <w:sz w:val="24"/>
          <w:szCs w:val="24"/>
        </w:rPr>
        <w:t xml:space="preserve">dai maggiori compensi per </w:t>
      </w:r>
      <w:r w:rsidR="00446642">
        <w:rPr>
          <w:sz w:val="24"/>
          <w:szCs w:val="24"/>
        </w:rPr>
        <w:t xml:space="preserve">quote sociali </w:t>
      </w:r>
      <w:r w:rsidR="00B63C45">
        <w:rPr>
          <w:sz w:val="24"/>
          <w:szCs w:val="24"/>
        </w:rPr>
        <w:t xml:space="preserve">pari ad </w:t>
      </w:r>
      <w:r w:rsidRPr="00136E84">
        <w:rPr>
          <w:sz w:val="24"/>
          <w:szCs w:val="24"/>
        </w:rPr>
        <w:t xml:space="preserve">€ </w:t>
      </w:r>
      <w:r w:rsidR="00446642">
        <w:rPr>
          <w:sz w:val="24"/>
          <w:szCs w:val="24"/>
        </w:rPr>
        <w:t>5</w:t>
      </w:r>
      <w:r w:rsidR="00136E84" w:rsidRPr="00136E84">
        <w:rPr>
          <w:sz w:val="24"/>
          <w:szCs w:val="24"/>
        </w:rPr>
        <w:t>.0</w:t>
      </w:r>
      <w:r w:rsidRPr="00136E84">
        <w:rPr>
          <w:sz w:val="24"/>
          <w:szCs w:val="24"/>
        </w:rPr>
        <w:t>00;</w:t>
      </w:r>
    </w:p>
    <w:p w:rsidR="00371C67" w:rsidRPr="00136E84" w:rsidRDefault="00371C67" w:rsidP="00064E0D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jc w:val="both"/>
        <w:rPr>
          <w:sz w:val="24"/>
          <w:szCs w:val="24"/>
        </w:rPr>
      </w:pPr>
      <w:r w:rsidRPr="00136E84">
        <w:rPr>
          <w:sz w:val="24"/>
          <w:szCs w:val="24"/>
        </w:rPr>
        <w:t>da</w:t>
      </w:r>
      <w:r w:rsidR="00446642">
        <w:rPr>
          <w:sz w:val="24"/>
          <w:szCs w:val="24"/>
        </w:rPr>
        <w:t xml:space="preserve">i maggiori </w:t>
      </w:r>
      <w:r w:rsidR="00136E84" w:rsidRPr="00136E84">
        <w:rPr>
          <w:sz w:val="24"/>
          <w:szCs w:val="24"/>
        </w:rPr>
        <w:t xml:space="preserve">proventi </w:t>
      </w:r>
      <w:r w:rsidR="00446642">
        <w:rPr>
          <w:sz w:val="24"/>
          <w:szCs w:val="24"/>
        </w:rPr>
        <w:t>per manifestazioni sportive</w:t>
      </w:r>
      <w:r w:rsidRPr="00136E84">
        <w:rPr>
          <w:sz w:val="24"/>
          <w:szCs w:val="24"/>
        </w:rPr>
        <w:t xml:space="preserve"> </w:t>
      </w:r>
      <w:r w:rsidR="00B63C45">
        <w:rPr>
          <w:sz w:val="24"/>
          <w:szCs w:val="24"/>
        </w:rPr>
        <w:t xml:space="preserve">pari ad </w:t>
      </w:r>
      <w:r w:rsidRPr="00136E84">
        <w:rPr>
          <w:sz w:val="24"/>
          <w:szCs w:val="24"/>
        </w:rPr>
        <w:t xml:space="preserve">€ </w:t>
      </w:r>
      <w:r w:rsidR="00446642">
        <w:rPr>
          <w:sz w:val="24"/>
          <w:szCs w:val="24"/>
        </w:rPr>
        <w:t>1</w:t>
      </w:r>
      <w:r w:rsidRPr="00136E84">
        <w:rPr>
          <w:sz w:val="24"/>
          <w:szCs w:val="24"/>
        </w:rPr>
        <w:t>.</w:t>
      </w:r>
      <w:r w:rsidR="00446642">
        <w:rPr>
          <w:sz w:val="24"/>
          <w:szCs w:val="24"/>
        </w:rPr>
        <w:t>2</w:t>
      </w:r>
      <w:r w:rsidRPr="00136E84">
        <w:rPr>
          <w:sz w:val="24"/>
          <w:szCs w:val="24"/>
        </w:rPr>
        <w:t>00.</w:t>
      </w:r>
    </w:p>
    <w:p w:rsidR="00C83D56" w:rsidRPr="00B6165C" w:rsidRDefault="00594053" w:rsidP="009C369F">
      <w:pPr>
        <w:ind w:left="360"/>
        <w:jc w:val="both"/>
        <w:rPr>
          <w:sz w:val="24"/>
          <w:szCs w:val="24"/>
          <w:highlight w:val="yellow"/>
        </w:rPr>
      </w:pPr>
      <w:r w:rsidRPr="00B6165C">
        <w:rPr>
          <w:sz w:val="24"/>
          <w:szCs w:val="24"/>
          <w:highlight w:val="yellow"/>
        </w:rPr>
        <w:t xml:space="preserve">  </w:t>
      </w:r>
    </w:p>
    <w:p w:rsidR="009C369F" w:rsidRPr="00136E84" w:rsidRDefault="00594053" w:rsidP="009C369F">
      <w:pPr>
        <w:ind w:firstLine="360"/>
        <w:jc w:val="center"/>
        <w:rPr>
          <w:sz w:val="24"/>
          <w:szCs w:val="24"/>
        </w:rPr>
      </w:pPr>
      <w:r w:rsidRPr="00136E84">
        <w:rPr>
          <w:sz w:val="24"/>
          <w:szCs w:val="24"/>
        </w:rPr>
        <w:t xml:space="preserve"> </w:t>
      </w:r>
      <w:r w:rsidR="009C369F" w:rsidRPr="00136E84">
        <w:rPr>
          <w:sz w:val="24"/>
          <w:szCs w:val="24"/>
        </w:rPr>
        <w:t>*</w:t>
      </w:r>
      <w:r w:rsidRPr="00136E84">
        <w:rPr>
          <w:sz w:val="24"/>
          <w:szCs w:val="24"/>
        </w:rPr>
        <w:t xml:space="preserve">    </w:t>
      </w:r>
      <w:r w:rsidR="009C369F" w:rsidRPr="00136E84">
        <w:rPr>
          <w:sz w:val="24"/>
          <w:szCs w:val="24"/>
        </w:rPr>
        <w:t>*</w:t>
      </w:r>
      <w:r w:rsidRPr="00136E84">
        <w:rPr>
          <w:sz w:val="24"/>
          <w:szCs w:val="24"/>
        </w:rPr>
        <w:t xml:space="preserve">    </w:t>
      </w:r>
      <w:r w:rsidR="009C369F" w:rsidRPr="00136E84">
        <w:rPr>
          <w:sz w:val="24"/>
          <w:szCs w:val="24"/>
        </w:rPr>
        <w:t>*</w:t>
      </w:r>
    </w:p>
    <w:p w:rsidR="009C369F" w:rsidRPr="00136E84" w:rsidRDefault="009C369F" w:rsidP="009C369F">
      <w:pPr>
        <w:ind w:firstLine="360"/>
        <w:jc w:val="center"/>
        <w:rPr>
          <w:sz w:val="24"/>
          <w:szCs w:val="24"/>
        </w:rPr>
      </w:pPr>
    </w:p>
    <w:p w:rsidR="009C369F" w:rsidRPr="00136E84" w:rsidRDefault="009C369F" w:rsidP="00432A96">
      <w:pPr>
        <w:ind w:firstLine="360"/>
        <w:jc w:val="both"/>
        <w:rPr>
          <w:sz w:val="24"/>
          <w:szCs w:val="24"/>
        </w:rPr>
      </w:pPr>
      <w:r w:rsidRPr="00136E84">
        <w:rPr>
          <w:sz w:val="24"/>
          <w:szCs w:val="24"/>
        </w:rPr>
        <w:t>Passando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all’analisi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dei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costi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della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produzione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il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Collegio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ha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verificato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che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gli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stessi,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quantificati</w:t>
      </w:r>
      <w:r w:rsidR="00594053" w:rsidRPr="00136E84">
        <w:rPr>
          <w:sz w:val="24"/>
          <w:szCs w:val="24"/>
        </w:rPr>
        <w:t xml:space="preserve"> </w:t>
      </w:r>
      <w:r w:rsidR="004847A7" w:rsidRPr="00136E84">
        <w:rPr>
          <w:sz w:val="24"/>
          <w:szCs w:val="24"/>
        </w:rPr>
        <w:t>in</w:t>
      </w:r>
      <w:r w:rsidR="00594053" w:rsidRPr="00136E84">
        <w:rPr>
          <w:sz w:val="24"/>
          <w:szCs w:val="24"/>
        </w:rPr>
        <w:t xml:space="preserve"> </w:t>
      </w:r>
      <w:r w:rsidR="004847A7" w:rsidRPr="00136E84">
        <w:rPr>
          <w:sz w:val="24"/>
          <w:szCs w:val="24"/>
        </w:rPr>
        <w:t>€</w:t>
      </w:r>
      <w:r w:rsidR="00594053" w:rsidRPr="00136E84">
        <w:rPr>
          <w:sz w:val="24"/>
          <w:szCs w:val="24"/>
        </w:rPr>
        <w:t xml:space="preserve"> </w:t>
      </w:r>
      <w:r w:rsidR="00281540">
        <w:rPr>
          <w:sz w:val="24"/>
          <w:szCs w:val="24"/>
        </w:rPr>
        <w:t>898</w:t>
      </w:r>
      <w:r w:rsidR="00066C16" w:rsidRPr="00136E84">
        <w:rPr>
          <w:sz w:val="24"/>
          <w:szCs w:val="24"/>
        </w:rPr>
        <w:t>.</w:t>
      </w:r>
      <w:r w:rsidR="00281540">
        <w:rPr>
          <w:sz w:val="24"/>
          <w:szCs w:val="24"/>
        </w:rPr>
        <w:t>500</w:t>
      </w:r>
      <w:r w:rsidR="00594053" w:rsidRPr="00136E84">
        <w:rPr>
          <w:sz w:val="24"/>
          <w:szCs w:val="24"/>
        </w:rPr>
        <w:t xml:space="preserve"> </w:t>
      </w:r>
      <w:r w:rsidR="004847A7" w:rsidRPr="00136E84">
        <w:rPr>
          <w:sz w:val="24"/>
          <w:szCs w:val="24"/>
        </w:rPr>
        <w:t>prevedono</w:t>
      </w:r>
      <w:r w:rsidR="00594053" w:rsidRPr="00136E84">
        <w:rPr>
          <w:sz w:val="24"/>
          <w:szCs w:val="24"/>
        </w:rPr>
        <w:t xml:space="preserve"> </w:t>
      </w:r>
      <w:r w:rsidR="004847A7" w:rsidRPr="00136E84">
        <w:rPr>
          <w:sz w:val="24"/>
          <w:szCs w:val="24"/>
        </w:rPr>
        <w:t>una</w:t>
      </w:r>
      <w:r w:rsidR="00594053" w:rsidRPr="00136E84">
        <w:rPr>
          <w:sz w:val="24"/>
          <w:szCs w:val="24"/>
        </w:rPr>
        <w:t xml:space="preserve"> </w:t>
      </w:r>
      <w:r w:rsidR="004847A7" w:rsidRPr="00136E84">
        <w:rPr>
          <w:sz w:val="24"/>
          <w:szCs w:val="24"/>
        </w:rPr>
        <w:t>riduzione</w:t>
      </w:r>
      <w:r w:rsidR="00594053" w:rsidRPr="00136E84">
        <w:rPr>
          <w:sz w:val="24"/>
          <w:szCs w:val="24"/>
        </w:rPr>
        <w:t xml:space="preserve"> </w:t>
      </w:r>
      <w:r w:rsidR="004847A7" w:rsidRPr="00136E84">
        <w:rPr>
          <w:sz w:val="24"/>
          <w:szCs w:val="24"/>
        </w:rPr>
        <w:t>di</w:t>
      </w:r>
      <w:r w:rsidR="00594053" w:rsidRPr="00136E84">
        <w:rPr>
          <w:sz w:val="24"/>
          <w:szCs w:val="24"/>
        </w:rPr>
        <w:t xml:space="preserve"> </w:t>
      </w:r>
      <w:r w:rsidR="004847A7" w:rsidRPr="00136E84">
        <w:rPr>
          <w:sz w:val="24"/>
          <w:szCs w:val="24"/>
        </w:rPr>
        <w:t>€</w:t>
      </w:r>
      <w:r w:rsidR="00594053" w:rsidRPr="00136E84">
        <w:rPr>
          <w:sz w:val="24"/>
          <w:szCs w:val="24"/>
        </w:rPr>
        <w:t xml:space="preserve"> </w:t>
      </w:r>
      <w:r w:rsidR="00281540">
        <w:rPr>
          <w:sz w:val="24"/>
          <w:szCs w:val="24"/>
        </w:rPr>
        <w:t>26</w:t>
      </w:r>
      <w:r w:rsidR="00E87D75" w:rsidRPr="00136E84">
        <w:rPr>
          <w:sz w:val="24"/>
          <w:szCs w:val="24"/>
        </w:rPr>
        <w:t>.</w:t>
      </w:r>
      <w:r w:rsidR="00281540">
        <w:rPr>
          <w:sz w:val="24"/>
          <w:szCs w:val="24"/>
        </w:rPr>
        <w:t>2</w:t>
      </w:r>
      <w:r w:rsidR="00922E2D" w:rsidRPr="00136E84">
        <w:rPr>
          <w:sz w:val="24"/>
          <w:szCs w:val="24"/>
        </w:rPr>
        <w:t>50</w:t>
      </w:r>
      <w:r w:rsidR="00594053" w:rsidRPr="00136E84">
        <w:rPr>
          <w:sz w:val="24"/>
          <w:szCs w:val="24"/>
        </w:rPr>
        <w:t xml:space="preserve"> </w:t>
      </w:r>
      <w:r w:rsidR="004847A7" w:rsidRPr="00136E84">
        <w:rPr>
          <w:sz w:val="24"/>
          <w:szCs w:val="24"/>
        </w:rPr>
        <w:t>rispetto</w:t>
      </w:r>
      <w:r w:rsidR="00594053" w:rsidRPr="00136E84">
        <w:rPr>
          <w:sz w:val="24"/>
          <w:szCs w:val="24"/>
        </w:rPr>
        <w:t xml:space="preserve"> </w:t>
      </w:r>
      <w:r w:rsidR="004847A7" w:rsidRPr="00136E84">
        <w:rPr>
          <w:sz w:val="24"/>
          <w:szCs w:val="24"/>
        </w:rPr>
        <w:t>al</w:t>
      </w:r>
      <w:r w:rsidR="00594053" w:rsidRPr="00136E84">
        <w:rPr>
          <w:sz w:val="24"/>
          <w:szCs w:val="24"/>
        </w:rPr>
        <w:t xml:space="preserve"> </w:t>
      </w:r>
      <w:r w:rsidR="004847A7" w:rsidRPr="00136E84">
        <w:rPr>
          <w:sz w:val="24"/>
          <w:szCs w:val="24"/>
        </w:rPr>
        <w:t>b</w:t>
      </w:r>
      <w:r w:rsidR="00E87D75" w:rsidRPr="00136E84">
        <w:rPr>
          <w:sz w:val="24"/>
          <w:szCs w:val="24"/>
        </w:rPr>
        <w:t>udget</w:t>
      </w:r>
      <w:r w:rsidR="00594053" w:rsidRPr="00136E84">
        <w:rPr>
          <w:sz w:val="24"/>
          <w:szCs w:val="24"/>
        </w:rPr>
        <w:t xml:space="preserve"> </w:t>
      </w:r>
      <w:r w:rsidR="004847A7" w:rsidRPr="00136E84">
        <w:rPr>
          <w:sz w:val="24"/>
          <w:szCs w:val="24"/>
        </w:rPr>
        <w:t>assestato</w:t>
      </w:r>
      <w:r w:rsidR="00594053" w:rsidRPr="00136E84">
        <w:rPr>
          <w:sz w:val="24"/>
          <w:szCs w:val="24"/>
        </w:rPr>
        <w:t xml:space="preserve"> </w:t>
      </w:r>
      <w:r w:rsidR="004847A7" w:rsidRPr="00136E84">
        <w:rPr>
          <w:sz w:val="24"/>
          <w:szCs w:val="24"/>
        </w:rPr>
        <w:t>201</w:t>
      </w:r>
      <w:r w:rsidR="00281540">
        <w:rPr>
          <w:sz w:val="24"/>
          <w:szCs w:val="24"/>
        </w:rPr>
        <w:t>8</w:t>
      </w:r>
      <w:r w:rsidR="004847A7" w:rsidRPr="00136E84">
        <w:rPr>
          <w:sz w:val="24"/>
          <w:szCs w:val="24"/>
        </w:rPr>
        <w:t>,</w:t>
      </w:r>
      <w:r w:rsidR="00594053" w:rsidRPr="00136E84">
        <w:rPr>
          <w:sz w:val="24"/>
          <w:szCs w:val="24"/>
        </w:rPr>
        <w:t xml:space="preserve"> </w:t>
      </w:r>
      <w:r w:rsidR="004847A7" w:rsidRPr="00136E84">
        <w:rPr>
          <w:sz w:val="24"/>
          <w:szCs w:val="24"/>
        </w:rPr>
        <w:t>con</w:t>
      </w:r>
      <w:r w:rsidR="00594053" w:rsidRPr="00136E84">
        <w:rPr>
          <w:sz w:val="24"/>
          <w:szCs w:val="24"/>
        </w:rPr>
        <w:t xml:space="preserve"> </w:t>
      </w:r>
      <w:r w:rsidR="004847A7" w:rsidRPr="00136E84">
        <w:rPr>
          <w:sz w:val="24"/>
          <w:szCs w:val="24"/>
        </w:rPr>
        <w:t>un</w:t>
      </w:r>
      <w:r w:rsidR="00594053" w:rsidRPr="00136E84">
        <w:rPr>
          <w:sz w:val="24"/>
          <w:szCs w:val="24"/>
        </w:rPr>
        <w:t xml:space="preserve"> </w:t>
      </w:r>
      <w:r w:rsidR="004847A7" w:rsidRPr="00136E84">
        <w:rPr>
          <w:sz w:val="24"/>
          <w:szCs w:val="24"/>
        </w:rPr>
        <w:t>decremento</w:t>
      </w:r>
      <w:r w:rsidR="00594053" w:rsidRPr="00136E84">
        <w:rPr>
          <w:sz w:val="24"/>
          <w:szCs w:val="24"/>
        </w:rPr>
        <w:t xml:space="preserve"> </w:t>
      </w:r>
      <w:r w:rsidR="004847A7" w:rsidRPr="00136E84">
        <w:rPr>
          <w:sz w:val="24"/>
          <w:szCs w:val="24"/>
        </w:rPr>
        <w:t>pari</w:t>
      </w:r>
      <w:r w:rsidR="00594053" w:rsidRPr="00136E84">
        <w:rPr>
          <w:sz w:val="24"/>
          <w:szCs w:val="24"/>
        </w:rPr>
        <w:t xml:space="preserve"> </w:t>
      </w:r>
      <w:r w:rsidR="004847A7" w:rsidRPr="00136E84">
        <w:rPr>
          <w:sz w:val="24"/>
          <w:szCs w:val="24"/>
        </w:rPr>
        <w:t>al</w:t>
      </w:r>
      <w:r w:rsidR="00594053" w:rsidRPr="00136E84">
        <w:rPr>
          <w:sz w:val="24"/>
          <w:szCs w:val="24"/>
        </w:rPr>
        <w:t xml:space="preserve"> </w:t>
      </w:r>
      <w:r w:rsidR="00281540">
        <w:rPr>
          <w:sz w:val="24"/>
          <w:szCs w:val="24"/>
        </w:rPr>
        <w:t>2</w:t>
      </w:r>
      <w:r w:rsidR="00E769D5" w:rsidRPr="00136E84">
        <w:rPr>
          <w:sz w:val="24"/>
          <w:szCs w:val="24"/>
        </w:rPr>
        <w:t>,</w:t>
      </w:r>
      <w:r w:rsidR="00281540">
        <w:rPr>
          <w:sz w:val="24"/>
          <w:szCs w:val="24"/>
        </w:rPr>
        <w:t>84</w:t>
      </w:r>
      <w:r w:rsidR="00432A96" w:rsidRPr="00136E84">
        <w:rPr>
          <w:sz w:val="24"/>
          <w:szCs w:val="24"/>
        </w:rPr>
        <w:t>%.</w:t>
      </w:r>
    </w:p>
    <w:p w:rsidR="00432A96" w:rsidRPr="00B6165C" w:rsidRDefault="00432A96" w:rsidP="00432A96">
      <w:pPr>
        <w:ind w:firstLine="360"/>
        <w:jc w:val="both"/>
        <w:rPr>
          <w:sz w:val="24"/>
          <w:szCs w:val="24"/>
          <w:highlight w:val="yellow"/>
        </w:rPr>
      </w:pPr>
    </w:p>
    <w:p w:rsidR="00432A96" w:rsidRPr="00136E84" w:rsidRDefault="00432A96" w:rsidP="00432A96">
      <w:pPr>
        <w:ind w:firstLine="360"/>
        <w:jc w:val="both"/>
        <w:rPr>
          <w:sz w:val="24"/>
          <w:szCs w:val="24"/>
        </w:rPr>
      </w:pPr>
      <w:r w:rsidRPr="00136E84">
        <w:rPr>
          <w:sz w:val="24"/>
          <w:szCs w:val="24"/>
        </w:rPr>
        <w:lastRenderedPageBreak/>
        <w:t>Le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principali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ragioni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di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tale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diminuzione,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rappresentate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nella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relazione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del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Presidente,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sono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riconducibili</w:t>
      </w:r>
      <w:r w:rsidR="00594053" w:rsidRPr="00136E84">
        <w:rPr>
          <w:sz w:val="24"/>
          <w:szCs w:val="24"/>
        </w:rPr>
        <w:t xml:space="preserve"> </w:t>
      </w:r>
      <w:r w:rsidR="00B2322C" w:rsidRPr="00136E84">
        <w:rPr>
          <w:sz w:val="24"/>
          <w:szCs w:val="24"/>
        </w:rPr>
        <w:t>ai</w:t>
      </w:r>
      <w:r w:rsidR="00594053" w:rsidRPr="00136E84">
        <w:rPr>
          <w:sz w:val="24"/>
          <w:szCs w:val="24"/>
        </w:rPr>
        <w:t xml:space="preserve"> </w:t>
      </w:r>
      <w:r w:rsidR="00B2322C" w:rsidRPr="00136E84">
        <w:rPr>
          <w:sz w:val="24"/>
          <w:szCs w:val="24"/>
        </w:rPr>
        <w:t>seguenti</w:t>
      </w:r>
      <w:r w:rsidR="00594053" w:rsidRPr="00136E84">
        <w:rPr>
          <w:sz w:val="24"/>
          <w:szCs w:val="24"/>
        </w:rPr>
        <w:t xml:space="preserve"> </w:t>
      </w:r>
      <w:r w:rsidR="00B2322C" w:rsidRPr="00136E84">
        <w:rPr>
          <w:sz w:val="24"/>
          <w:szCs w:val="24"/>
        </w:rPr>
        <w:t>elementi:</w:t>
      </w:r>
    </w:p>
    <w:p w:rsidR="00151F42" w:rsidRPr="00136E84" w:rsidRDefault="00151F42" w:rsidP="00432A96">
      <w:pPr>
        <w:ind w:firstLine="360"/>
        <w:jc w:val="both"/>
        <w:rPr>
          <w:sz w:val="24"/>
          <w:szCs w:val="24"/>
        </w:rPr>
      </w:pPr>
    </w:p>
    <w:p w:rsidR="00B2322C" w:rsidRDefault="00023F90" w:rsidP="00151F42">
      <w:pPr>
        <w:numPr>
          <w:ilvl w:val="0"/>
          <w:numId w:val="3"/>
        </w:numPr>
        <w:tabs>
          <w:tab w:val="clear" w:pos="1080"/>
          <w:tab w:val="num" w:pos="720"/>
        </w:tabs>
        <w:ind w:left="720"/>
        <w:jc w:val="both"/>
        <w:rPr>
          <w:sz w:val="24"/>
          <w:szCs w:val="24"/>
        </w:rPr>
      </w:pPr>
      <w:r w:rsidRPr="00B02A6D">
        <w:rPr>
          <w:sz w:val="24"/>
          <w:szCs w:val="24"/>
        </w:rPr>
        <w:t xml:space="preserve">della diminuzione </w:t>
      </w:r>
      <w:r w:rsidR="00922E2D" w:rsidRPr="00B02A6D">
        <w:rPr>
          <w:sz w:val="24"/>
          <w:szCs w:val="24"/>
        </w:rPr>
        <w:t xml:space="preserve">delle provvigioni SARA Assicurazioni ai Sub-Agenti per le campagne promozionali non preventivamente determinabili pari ad € </w:t>
      </w:r>
      <w:r w:rsidR="00B63C45">
        <w:rPr>
          <w:sz w:val="24"/>
          <w:szCs w:val="24"/>
        </w:rPr>
        <w:t>6</w:t>
      </w:r>
      <w:r w:rsidR="00B02A6D" w:rsidRPr="00B02A6D">
        <w:rPr>
          <w:sz w:val="24"/>
          <w:szCs w:val="24"/>
        </w:rPr>
        <w:t>.</w:t>
      </w:r>
      <w:r w:rsidR="00B63C45">
        <w:rPr>
          <w:sz w:val="24"/>
          <w:szCs w:val="24"/>
        </w:rPr>
        <w:t>150</w:t>
      </w:r>
      <w:r w:rsidR="009A7BD0" w:rsidRPr="00B02A6D">
        <w:rPr>
          <w:sz w:val="24"/>
          <w:szCs w:val="24"/>
        </w:rPr>
        <w:t>;</w:t>
      </w:r>
    </w:p>
    <w:p w:rsidR="00B63C45" w:rsidRDefault="00B63C45" w:rsidP="00151F42">
      <w:pPr>
        <w:numPr>
          <w:ilvl w:val="0"/>
          <w:numId w:val="3"/>
        </w:numPr>
        <w:tabs>
          <w:tab w:val="clear" w:pos="1080"/>
          <w:tab w:val="num" w:pos="720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dalla diminuzione delle spese per pulizie locali pari ad € 1.200;</w:t>
      </w:r>
    </w:p>
    <w:p w:rsidR="00B63C45" w:rsidRPr="00B02A6D" w:rsidRDefault="00B63C45" w:rsidP="00151F42">
      <w:pPr>
        <w:numPr>
          <w:ilvl w:val="0"/>
          <w:numId w:val="3"/>
        </w:numPr>
        <w:tabs>
          <w:tab w:val="clear" w:pos="1080"/>
          <w:tab w:val="num" w:pos="720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dalla diminuzione delle spese per il servizio Invita Revisione pari ad € 1.000;</w:t>
      </w:r>
    </w:p>
    <w:p w:rsidR="002E2E59" w:rsidRPr="00B02A6D" w:rsidRDefault="00922E2D" w:rsidP="00151F42">
      <w:pPr>
        <w:numPr>
          <w:ilvl w:val="0"/>
          <w:numId w:val="3"/>
        </w:numPr>
        <w:tabs>
          <w:tab w:val="clear" w:pos="1080"/>
          <w:tab w:val="num" w:pos="720"/>
        </w:tabs>
        <w:ind w:left="720"/>
        <w:jc w:val="both"/>
        <w:rPr>
          <w:sz w:val="24"/>
          <w:szCs w:val="24"/>
        </w:rPr>
      </w:pPr>
      <w:r w:rsidRPr="00B02A6D">
        <w:rPr>
          <w:sz w:val="24"/>
          <w:szCs w:val="24"/>
        </w:rPr>
        <w:t>dalla diminuzione</w:t>
      </w:r>
      <w:r w:rsidR="003B6ABA" w:rsidRPr="00B02A6D">
        <w:rPr>
          <w:sz w:val="24"/>
          <w:szCs w:val="24"/>
        </w:rPr>
        <w:t xml:space="preserve"> </w:t>
      </w:r>
      <w:r w:rsidR="003351A3" w:rsidRPr="00B02A6D">
        <w:rPr>
          <w:sz w:val="24"/>
          <w:szCs w:val="24"/>
        </w:rPr>
        <w:t>d</w:t>
      </w:r>
      <w:r w:rsidR="00B63C45">
        <w:rPr>
          <w:sz w:val="24"/>
          <w:szCs w:val="24"/>
        </w:rPr>
        <w:t>ei costi del personale a seguito della quiescenza di un dipendente pari ad € 46.310</w:t>
      </w:r>
      <w:r w:rsidR="002E2E59" w:rsidRPr="00B02A6D">
        <w:rPr>
          <w:sz w:val="24"/>
          <w:szCs w:val="24"/>
        </w:rPr>
        <w:t>;</w:t>
      </w:r>
    </w:p>
    <w:p w:rsidR="00922E2D" w:rsidRPr="00B02A6D" w:rsidRDefault="00922E2D" w:rsidP="00151F42">
      <w:pPr>
        <w:numPr>
          <w:ilvl w:val="0"/>
          <w:numId w:val="3"/>
        </w:numPr>
        <w:tabs>
          <w:tab w:val="clear" w:pos="1080"/>
          <w:tab w:val="num" w:pos="720"/>
        </w:tabs>
        <w:ind w:left="720"/>
        <w:jc w:val="both"/>
        <w:rPr>
          <w:sz w:val="24"/>
          <w:szCs w:val="24"/>
        </w:rPr>
      </w:pPr>
      <w:r w:rsidRPr="00B02A6D">
        <w:rPr>
          <w:sz w:val="24"/>
          <w:szCs w:val="24"/>
        </w:rPr>
        <w:t>dalla diminuzione d</w:t>
      </w:r>
      <w:r w:rsidR="00B63C45">
        <w:rPr>
          <w:sz w:val="24"/>
          <w:szCs w:val="24"/>
        </w:rPr>
        <w:t>egli accantonamenti per la liquidazione del portafoglio SARA pari ad € 1.000</w:t>
      </w:r>
      <w:r w:rsidRPr="00B02A6D">
        <w:rPr>
          <w:sz w:val="24"/>
          <w:szCs w:val="24"/>
        </w:rPr>
        <w:t>;</w:t>
      </w:r>
    </w:p>
    <w:p w:rsidR="00922E2D" w:rsidRPr="00B80216" w:rsidRDefault="00922E2D" w:rsidP="00151F42">
      <w:pPr>
        <w:numPr>
          <w:ilvl w:val="0"/>
          <w:numId w:val="3"/>
        </w:numPr>
        <w:tabs>
          <w:tab w:val="clear" w:pos="1080"/>
          <w:tab w:val="num" w:pos="720"/>
        </w:tabs>
        <w:ind w:left="720"/>
        <w:jc w:val="both"/>
        <w:rPr>
          <w:sz w:val="24"/>
          <w:szCs w:val="24"/>
        </w:rPr>
      </w:pPr>
      <w:r w:rsidRPr="00B80216">
        <w:rPr>
          <w:sz w:val="24"/>
          <w:szCs w:val="24"/>
        </w:rPr>
        <w:t>dalla diminuzione de</w:t>
      </w:r>
      <w:r w:rsidR="00B63C45">
        <w:rPr>
          <w:sz w:val="24"/>
          <w:szCs w:val="24"/>
        </w:rPr>
        <w:t>gli interessi passivi a seguito del termine del Piano di rientro con ACI Italia pari ad € 1.400</w:t>
      </w:r>
      <w:r w:rsidRPr="00B80216">
        <w:rPr>
          <w:sz w:val="24"/>
          <w:szCs w:val="24"/>
        </w:rPr>
        <w:t>;</w:t>
      </w:r>
    </w:p>
    <w:p w:rsidR="0022637B" w:rsidRDefault="0022637B" w:rsidP="00151F42">
      <w:pPr>
        <w:numPr>
          <w:ilvl w:val="0"/>
          <w:numId w:val="3"/>
        </w:numPr>
        <w:tabs>
          <w:tab w:val="clear" w:pos="1080"/>
          <w:tab w:val="num" w:pos="720"/>
        </w:tabs>
        <w:ind w:left="720"/>
        <w:jc w:val="both"/>
        <w:rPr>
          <w:sz w:val="24"/>
          <w:szCs w:val="24"/>
        </w:rPr>
      </w:pPr>
      <w:r w:rsidRPr="00030FB4">
        <w:rPr>
          <w:sz w:val="24"/>
          <w:szCs w:val="24"/>
        </w:rPr>
        <w:t xml:space="preserve">dalla diminuzione delle </w:t>
      </w:r>
      <w:r w:rsidR="00B63C45">
        <w:rPr>
          <w:sz w:val="24"/>
          <w:szCs w:val="24"/>
        </w:rPr>
        <w:t>imposte IRES e IRAP</w:t>
      </w:r>
      <w:r w:rsidRPr="00030FB4">
        <w:rPr>
          <w:sz w:val="24"/>
          <w:szCs w:val="24"/>
        </w:rPr>
        <w:t xml:space="preserve"> p</w:t>
      </w:r>
      <w:r w:rsidR="00B63C45">
        <w:rPr>
          <w:sz w:val="24"/>
          <w:szCs w:val="24"/>
        </w:rPr>
        <w:t>ari ad</w:t>
      </w:r>
      <w:r w:rsidRPr="00030FB4">
        <w:rPr>
          <w:sz w:val="24"/>
          <w:szCs w:val="24"/>
        </w:rPr>
        <w:t xml:space="preserve"> € </w:t>
      </w:r>
      <w:r w:rsidR="00B63C45">
        <w:rPr>
          <w:sz w:val="24"/>
          <w:szCs w:val="24"/>
        </w:rPr>
        <w:t>5.800</w:t>
      </w:r>
      <w:r w:rsidRPr="00030FB4">
        <w:rPr>
          <w:sz w:val="24"/>
          <w:szCs w:val="24"/>
        </w:rPr>
        <w:t>;</w:t>
      </w:r>
    </w:p>
    <w:p w:rsidR="00585083" w:rsidRDefault="00585083" w:rsidP="00585083">
      <w:pPr>
        <w:numPr>
          <w:ilvl w:val="0"/>
          <w:numId w:val="3"/>
        </w:numPr>
        <w:tabs>
          <w:tab w:val="clear" w:pos="1080"/>
          <w:tab w:val="num" w:pos="720"/>
        </w:tabs>
        <w:ind w:left="720"/>
        <w:jc w:val="both"/>
        <w:rPr>
          <w:sz w:val="24"/>
          <w:szCs w:val="24"/>
        </w:rPr>
      </w:pPr>
      <w:r w:rsidRPr="0022637B">
        <w:rPr>
          <w:sz w:val="24"/>
          <w:szCs w:val="24"/>
        </w:rPr>
        <w:t>da</w:t>
      </w:r>
      <w:r>
        <w:rPr>
          <w:sz w:val="24"/>
          <w:szCs w:val="24"/>
        </w:rPr>
        <w:t>l maggiore c</w:t>
      </w:r>
      <w:r w:rsidRPr="0022637B">
        <w:rPr>
          <w:sz w:val="24"/>
          <w:szCs w:val="24"/>
        </w:rPr>
        <w:t xml:space="preserve">ompenso alla Società Controllata SASA Srl per € </w:t>
      </w:r>
      <w:r w:rsidR="00B63C45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0022637B">
        <w:rPr>
          <w:sz w:val="24"/>
          <w:szCs w:val="24"/>
        </w:rPr>
        <w:t>.000;</w:t>
      </w:r>
    </w:p>
    <w:p w:rsidR="00922E2D" w:rsidRPr="00030FB4" w:rsidRDefault="00922E2D" w:rsidP="00712F4C">
      <w:pPr>
        <w:numPr>
          <w:ilvl w:val="0"/>
          <w:numId w:val="3"/>
        </w:numPr>
        <w:tabs>
          <w:tab w:val="clear" w:pos="1080"/>
          <w:tab w:val="num" w:pos="720"/>
        </w:tabs>
        <w:ind w:left="720"/>
        <w:jc w:val="both"/>
        <w:rPr>
          <w:sz w:val="24"/>
          <w:szCs w:val="24"/>
        </w:rPr>
      </w:pPr>
      <w:r w:rsidRPr="00030FB4">
        <w:rPr>
          <w:sz w:val="24"/>
          <w:szCs w:val="24"/>
        </w:rPr>
        <w:t xml:space="preserve">da maggiori </w:t>
      </w:r>
      <w:r w:rsidR="00B63C45">
        <w:rPr>
          <w:sz w:val="24"/>
          <w:szCs w:val="24"/>
        </w:rPr>
        <w:t>fitti passivi ed oneri accessori pari ad e 1.100</w:t>
      </w:r>
      <w:r w:rsidR="00030FB4" w:rsidRPr="00030FB4">
        <w:rPr>
          <w:sz w:val="24"/>
          <w:szCs w:val="24"/>
        </w:rPr>
        <w:t>;</w:t>
      </w:r>
    </w:p>
    <w:p w:rsidR="00030FB4" w:rsidRDefault="00030FB4" w:rsidP="00712F4C">
      <w:pPr>
        <w:numPr>
          <w:ilvl w:val="0"/>
          <w:numId w:val="3"/>
        </w:numPr>
        <w:tabs>
          <w:tab w:val="clear" w:pos="1080"/>
          <w:tab w:val="num" w:pos="720"/>
        </w:tabs>
        <w:ind w:left="720"/>
        <w:jc w:val="both"/>
        <w:rPr>
          <w:sz w:val="24"/>
          <w:szCs w:val="24"/>
        </w:rPr>
      </w:pPr>
      <w:r w:rsidRPr="00030FB4">
        <w:rPr>
          <w:sz w:val="24"/>
          <w:szCs w:val="24"/>
        </w:rPr>
        <w:t xml:space="preserve">da maggiori </w:t>
      </w:r>
      <w:r w:rsidR="00B63C45">
        <w:rPr>
          <w:sz w:val="24"/>
          <w:szCs w:val="24"/>
        </w:rPr>
        <w:t>aliquote su quote sociali pari ad € 5.000.</w:t>
      </w:r>
    </w:p>
    <w:p w:rsidR="002D7989" w:rsidRPr="00B6165C" w:rsidRDefault="002D7989" w:rsidP="0093461C">
      <w:pPr>
        <w:ind w:firstLine="360"/>
        <w:jc w:val="center"/>
        <w:rPr>
          <w:sz w:val="24"/>
          <w:szCs w:val="24"/>
          <w:highlight w:val="yellow"/>
        </w:rPr>
      </w:pPr>
    </w:p>
    <w:p w:rsidR="00A246D5" w:rsidRPr="00192207" w:rsidRDefault="0093461C" w:rsidP="0093461C">
      <w:pPr>
        <w:ind w:firstLine="360"/>
        <w:jc w:val="center"/>
        <w:rPr>
          <w:sz w:val="24"/>
          <w:szCs w:val="24"/>
        </w:rPr>
      </w:pPr>
      <w:r w:rsidRPr="00192207">
        <w:rPr>
          <w:sz w:val="24"/>
          <w:szCs w:val="24"/>
        </w:rPr>
        <w:t>*</w:t>
      </w:r>
      <w:r w:rsidR="00594053" w:rsidRPr="00192207">
        <w:rPr>
          <w:sz w:val="24"/>
          <w:szCs w:val="24"/>
        </w:rPr>
        <w:t xml:space="preserve">    </w:t>
      </w:r>
      <w:r w:rsidRPr="00192207">
        <w:rPr>
          <w:sz w:val="24"/>
          <w:szCs w:val="24"/>
        </w:rPr>
        <w:t>*</w:t>
      </w:r>
      <w:r w:rsidR="00594053" w:rsidRPr="00192207">
        <w:rPr>
          <w:sz w:val="24"/>
          <w:szCs w:val="24"/>
        </w:rPr>
        <w:t xml:space="preserve">    </w:t>
      </w:r>
      <w:r w:rsidRPr="00192207">
        <w:rPr>
          <w:sz w:val="24"/>
          <w:szCs w:val="24"/>
        </w:rPr>
        <w:t>*</w:t>
      </w:r>
    </w:p>
    <w:p w:rsidR="0093461C" w:rsidRPr="00B6165C" w:rsidRDefault="0093461C" w:rsidP="0093461C">
      <w:pPr>
        <w:ind w:firstLine="360"/>
        <w:jc w:val="center"/>
        <w:rPr>
          <w:sz w:val="24"/>
          <w:szCs w:val="24"/>
          <w:highlight w:val="yellow"/>
        </w:rPr>
      </w:pPr>
    </w:p>
    <w:p w:rsidR="0093461C" w:rsidRPr="00192207" w:rsidRDefault="0093461C" w:rsidP="0093461C">
      <w:pPr>
        <w:ind w:firstLine="360"/>
        <w:jc w:val="both"/>
        <w:rPr>
          <w:sz w:val="24"/>
          <w:szCs w:val="24"/>
        </w:rPr>
      </w:pPr>
      <w:r w:rsidRPr="00192207">
        <w:rPr>
          <w:sz w:val="24"/>
          <w:szCs w:val="24"/>
        </w:rPr>
        <w:t>Il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budget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degli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investimenti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e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delle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dismissioni,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riguardante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le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immobilizzazioni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immateriali,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materiali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e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finanziarie,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espone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in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termini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numerici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il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volume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degli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investimenti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previsti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per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l’anno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201</w:t>
      </w:r>
      <w:r w:rsidR="00B63C45">
        <w:rPr>
          <w:sz w:val="24"/>
          <w:szCs w:val="24"/>
        </w:rPr>
        <w:t>9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come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individuati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nella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Relazione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del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Presidente.</w:t>
      </w:r>
    </w:p>
    <w:p w:rsidR="0093461C" w:rsidRPr="00192207" w:rsidRDefault="0093461C" w:rsidP="0093461C">
      <w:pPr>
        <w:ind w:firstLine="360"/>
        <w:jc w:val="both"/>
        <w:rPr>
          <w:sz w:val="24"/>
          <w:szCs w:val="24"/>
        </w:rPr>
      </w:pPr>
    </w:p>
    <w:p w:rsidR="0093461C" w:rsidRPr="00192207" w:rsidRDefault="0093461C" w:rsidP="0093461C">
      <w:pPr>
        <w:ind w:firstLine="360"/>
        <w:jc w:val="center"/>
        <w:rPr>
          <w:sz w:val="24"/>
          <w:szCs w:val="24"/>
        </w:rPr>
      </w:pPr>
      <w:r w:rsidRPr="00192207">
        <w:rPr>
          <w:sz w:val="24"/>
          <w:szCs w:val="24"/>
        </w:rPr>
        <w:t>*</w:t>
      </w:r>
      <w:r w:rsidR="00594053" w:rsidRPr="00192207">
        <w:rPr>
          <w:sz w:val="24"/>
          <w:szCs w:val="24"/>
        </w:rPr>
        <w:t xml:space="preserve">    </w:t>
      </w:r>
      <w:r w:rsidRPr="00192207">
        <w:rPr>
          <w:sz w:val="24"/>
          <w:szCs w:val="24"/>
        </w:rPr>
        <w:t>*</w:t>
      </w:r>
      <w:r w:rsidR="00594053" w:rsidRPr="00192207">
        <w:rPr>
          <w:sz w:val="24"/>
          <w:szCs w:val="24"/>
        </w:rPr>
        <w:t xml:space="preserve">    </w:t>
      </w:r>
      <w:r w:rsidRPr="00192207">
        <w:rPr>
          <w:sz w:val="24"/>
          <w:szCs w:val="24"/>
        </w:rPr>
        <w:t>*</w:t>
      </w:r>
    </w:p>
    <w:p w:rsidR="0093461C" w:rsidRPr="00B6165C" w:rsidRDefault="0093461C" w:rsidP="0093461C">
      <w:pPr>
        <w:ind w:firstLine="360"/>
        <w:jc w:val="both"/>
        <w:rPr>
          <w:sz w:val="24"/>
          <w:szCs w:val="24"/>
          <w:highlight w:val="yellow"/>
        </w:rPr>
      </w:pPr>
    </w:p>
    <w:p w:rsidR="0093461C" w:rsidRPr="00192207" w:rsidRDefault="0093461C" w:rsidP="0093461C">
      <w:pPr>
        <w:ind w:firstLine="360"/>
        <w:jc w:val="both"/>
        <w:rPr>
          <w:sz w:val="24"/>
          <w:szCs w:val="24"/>
        </w:rPr>
      </w:pPr>
      <w:r w:rsidRPr="00192207">
        <w:rPr>
          <w:sz w:val="24"/>
          <w:szCs w:val="24"/>
        </w:rPr>
        <w:t>Il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Budget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di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Tesoreria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(art.6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del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Regolamento),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sintetizzato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nel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seguente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prospetto,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dà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conto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dei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flussi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finanziari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previsti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a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fronte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della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gestione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economica,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di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quella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relativa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agli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investimenti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e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della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gestione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finanziaria.</w:t>
      </w:r>
    </w:p>
    <w:p w:rsidR="0093461C" w:rsidRDefault="0093461C" w:rsidP="0093461C">
      <w:pPr>
        <w:ind w:firstLine="360"/>
        <w:jc w:val="both"/>
        <w:rPr>
          <w:sz w:val="24"/>
          <w:szCs w:val="24"/>
        </w:rPr>
      </w:pPr>
    </w:p>
    <w:p w:rsidR="00030FB4" w:rsidRPr="00192207" w:rsidRDefault="00030FB4" w:rsidP="0093461C">
      <w:pPr>
        <w:ind w:firstLine="360"/>
        <w:jc w:val="both"/>
        <w:rPr>
          <w:sz w:val="24"/>
          <w:szCs w:val="24"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0"/>
        <w:gridCol w:w="2311"/>
      </w:tblGrid>
      <w:tr w:rsidR="007F4663" w:rsidRPr="00192207">
        <w:trPr>
          <w:gridAfter w:val="1"/>
          <w:wAfter w:w="2311" w:type="dxa"/>
        </w:trPr>
        <w:tc>
          <w:tcPr>
            <w:tcW w:w="4500" w:type="dxa"/>
          </w:tcPr>
          <w:p w:rsidR="007F4663" w:rsidRPr="00192207" w:rsidRDefault="007F4663" w:rsidP="007A2670">
            <w:pPr>
              <w:jc w:val="both"/>
              <w:rPr>
                <w:b/>
              </w:rPr>
            </w:pPr>
            <w:r w:rsidRPr="00192207">
              <w:rPr>
                <w:b/>
              </w:rPr>
              <w:t>BUDGET</w:t>
            </w:r>
            <w:r w:rsidR="00594053" w:rsidRPr="00192207">
              <w:rPr>
                <w:b/>
              </w:rPr>
              <w:t xml:space="preserve"> </w:t>
            </w:r>
            <w:proofErr w:type="spellStart"/>
            <w:r w:rsidRPr="00192207">
              <w:rPr>
                <w:b/>
              </w:rPr>
              <w:t>DI</w:t>
            </w:r>
            <w:proofErr w:type="spellEnd"/>
            <w:r w:rsidR="00594053" w:rsidRPr="00192207">
              <w:rPr>
                <w:b/>
              </w:rPr>
              <w:t xml:space="preserve"> </w:t>
            </w:r>
            <w:r w:rsidRPr="00192207">
              <w:rPr>
                <w:b/>
              </w:rPr>
              <w:t>TESORERIA</w:t>
            </w:r>
            <w:r w:rsidR="00594053" w:rsidRPr="00192207">
              <w:rPr>
                <w:b/>
              </w:rPr>
              <w:t xml:space="preserve"> </w:t>
            </w:r>
            <w:r w:rsidRPr="00192207">
              <w:rPr>
                <w:b/>
              </w:rPr>
              <w:t>201</w:t>
            </w:r>
            <w:r w:rsidR="00B63C45">
              <w:rPr>
                <w:b/>
              </w:rPr>
              <w:t>9</w:t>
            </w:r>
          </w:p>
          <w:p w:rsidR="007F4663" w:rsidRPr="00192207" w:rsidRDefault="007F4663" w:rsidP="007A2670">
            <w:pPr>
              <w:jc w:val="both"/>
              <w:rPr>
                <w:sz w:val="24"/>
                <w:szCs w:val="24"/>
              </w:rPr>
            </w:pPr>
          </w:p>
        </w:tc>
      </w:tr>
      <w:tr w:rsidR="00041D52" w:rsidRPr="00192207">
        <w:tc>
          <w:tcPr>
            <w:tcW w:w="4500" w:type="dxa"/>
          </w:tcPr>
          <w:p w:rsidR="00041D52" w:rsidRPr="00192207" w:rsidRDefault="00041D52" w:rsidP="00B63C45">
            <w:pPr>
              <w:jc w:val="both"/>
              <w:rPr>
                <w:sz w:val="24"/>
                <w:szCs w:val="24"/>
              </w:rPr>
            </w:pPr>
            <w:r w:rsidRPr="00192207">
              <w:rPr>
                <w:sz w:val="24"/>
                <w:szCs w:val="24"/>
              </w:rPr>
              <w:t>Saldo</w:t>
            </w:r>
            <w:r w:rsidR="00594053" w:rsidRPr="00192207">
              <w:rPr>
                <w:sz w:val="24"/>
                <w:szCs w:val="24"/>
              </w:rPr>
              <w:t xml:space="preserve"> </w:t>
            </w:r>
            <w:r w:rsidRPr="00192207">
              <w:rPr>
                <w:sz w:val="24"/>
                <w:szCs w:val="24"/>
              </w:rPr>
              <w:t>finale</w:t>
            </w:r>
            <w:r w:rsidR="00594053" w:rsidRPr="00192207">
              <w:rPr>
                <w:sz w:val="24"/>
                <w:szCs w:val="24"/>
              </w:rPr>
              <w:t xml:space="preserve"> </w:t>
            </w:r>
            <w:r w:rsidRPr="00192207">
              <w:rPr>
                <w:sz w:val="24"/>
                <w:szCs w:val="24"/>
              </w:rPr>
              <w:t>presunto</w:t>
            </w:r>
            <w:r w:rsidR="00594053" w:rsidRPr="00192207">
              <w:rPr>
                <w:sz w:val="24"/>
                <w:szCs w:val="24"/>
              </w:rPr>
              <w:t xml:space="preserve"> </w:t>
            </w:r>
            <w:r w:rsidRPr="00192207">
              <w:rPr>
                <w:sz w:val="24"/>
                <w:szCs w:val="24"/>
              </w:rPr>
              <w:t>al</w:t>
            </w:r>
            <w:r w:rsidR="00594053" w:rsidRPr="00192207">
              <w:rPr>
                <w:sz w:val="24"/>
                <w:szCs w:val="24"/>
              </w:rPr>
              <w:t xml:space="preserve"> </w:t>
            </w:r>
            <w:r w:rsidR="00E708B0" w:rsidRPr="00192207">
              <w:rPr>
                <w:sz w:val="24"/>
                <w:szCs w:val="24"/>
              </w:rPr>
              <w:t>31/12/201</w:t>
            </w:r>
            <w:r w:rsidR="00B63C45">
              <w:rPr>
                <w:sz w:val="24"/>
                <w:szCs w:val="24"/>
              </w:rPr>
              <w:t>8</w:t>
            </w:r>
          </w:p>
        </w:tc>
        <w:tc>
          <w:tcPr>
            <w:tcW w:w="2311" w:type="dxa"/>
          </w:tcPr>
          <w:p w:rsidR="00041D52" w:rsidRPr="00192207" w:rsidRDefault="00B30FA6" w:rsidP="00192207">
            <w:pPr>
              <w:snapToGrid w:val="0"/>
              <w:jc w:val="right"/>
              <w:rPr>
                <w:sz w:val="24"/>
                <w:szCs w:val="24"/>
              </w:rPr>
            </w:pPr>
            <w:r w:rsidRPr="00192207">
              <w:rPr>
                <w:sz w:val="24"/>
                <w:szCs w:val="24"/>
              </w:rPr>
              <w:t xml:space="preserve">- </w:t>
            </w:r>
            <w:r w:rsidR="00FB42EF" w:rsidRPr="00192207">
              <w:rPr>
                <w:sz w:val="24"/>
                <w:szCs w:val="24"/>
              </w:rPr>
              <w:t>2</w:t>
            </w:r>
            <w:r w:rsidR="00E64D0D" w:rsidRPr="00192207">
              <w:rPr>
                <w:sz w:val="24"/>
                <w:szCs w:val="24"/>
              </w:rPr>
              <w:t>9</w:t>
            </w:r>
            <w:r w:rsidR="00192207" w:rsidRPr="00192207">
              <w:rPr>
                <w:sz w:val="24"/>
                <w:szCs w:val="24"/>
              </w:rPr>
              <w:t>5</w:t>
            </w:r>
            <w:r w:rsidRPr="00192207">
              <w:rPr>
                <w:sz w:val="24"/>
                <w:szCs w:val="24"/>
              </w:rPr>
              <w:t>.000</w:t>
            </w:r>
          </w:p>
        </w:tc>
      </w:tr>
      <w:tr w:rsidR="00041D52" w:rsidRPr="00192207">
        <w:tc>
          <w:tcPr>
            <w:tcW w:w="4500" w:type="dxa"/>
          </w:tcPr>
          <w:p w:rsidR="00041D52" w:rsidRPr="00192207" w:rsidRDefault="00041D52" w:rsidP="007A2670">
            <w:pPr>
              <w:jc w:val="both"/>
              <w:rPr>
                <w:sz w:val="24"/>
                <w:szCs w:val="24"/>
              </w:rPr>
            </w:pPr>
            <w:r w:rsidRPr="00192207">
              <w:rPr>
                <w:sz w:val="24"/>
                <w:szCs w:val="24"/>
              </w:rPr>
              <w:t>Entrate</w:t>
            </w:r>
            <w:r w:rsidR="00594053" w:rsidRPr="00192207">
              <w:rPr>
                <w:sz w:val="24"/>
                <w:szCs w:val="24"/>
              </w:rPr>
              <w:t xml:space="preserve"> </w:t>
            </w:r>
            <w:r w:rsidRPr="00192207">
              <w:rPr>
                <w:sz w:val="24"/>
                <w:szCs w:val="24"/>
              </w:rPr>
              <w:t>da</w:t>
            </w:r>
            <w:r w:rsidR="00594053" w:rsidRPr="00192207">
              <w:rPr>
                <w:sz w:val="24"/>
                <w:szCs w:val="24"/>
              </w:rPr>
              <w:t xml:space="preserve"> </w:t>
            </w:r>
            <w:r w:rsidRPr="00192207">
              <w:rPr>
                <w:sz w:val="24"/>
                <w:szCs w:val="24"/>
              </w:rPr>
              <w:t>gestione</w:t>
            </w:r>
            <w:r w:rsidR="00594053" w:rsidRPr="00192207">
              <w:rPr>
                <w:sz w:val="24"/>
                <w:szCs w:val="24"/>
              </w:rPr>
              <w:t xml:space="preserve"> </w:t>
            </w:r>
            <w:r w:rsidRPr="00192207">
              <w:rPr>
                <w:sz w:val="24"/>
                <w:szCs w:val="24"/>
              </w:rPr>
              <w:t>economica</w:t>
            </w:r>
          </w:p>
        </w:tc>
        <w:tc>
          <w:tcPr>
            <w:tcW w:w="2311" w:type="dxa"/>
          </w:tcPr>
          <w:p w:rsidR="00041D52" w:rsidRPr="00192207" w:rsidRDefault="006F60CE" w:rsidP="00B63C45">
            <w:pPr>
              <w:snapToGrid w:val="0"/>
              <w:jc w:val="right"/>
              <w:rPr>
                <w:sz w:val="24"/>
                <w:szCs w:val="24"/>
              </w:rPr>
            </w:pPr>
            <w:r w:rsidRPr="00192207">
              <w:rPr>
                <w:sz w:val="24"/>
                <w:szCs w:val="24"/>
              </w:rPr>
              <w:t>9</w:t>
            </w:r>
            <w:r w:rsidR="00B63C45">
              <w:rPr>
                <w:sz w:val="24"/>
                <w:szCs w:val="24"/>
              </w:rPr>
              <w:t>33</w:t>
            </w:r>
            <w:r w:rsidRPr="00192207">
              <w:rPr>
                <w:sz w:val="24"/>
                <w:szCs w:val="24"/>
              </w:rPr>
              <w:t>.000</w:t>
            </w:r>
          </w:p>
        </w:tc>
      </w:tr>
      <w:tr w:rsidR="00041D52" w:rsidRPr="00192207">
        <w:tc>
          <w:tcPr>
            <w:tcW w:w="4500" w:type="dxa"/>
          </w:tcPr>
          <w:p w:rsidR="00041D52" w:rsidRPr="00192207" w:rsidRDefault="00041D52" w:rsidP="007A2670">
            <w:pPr>
              <w:jc w:val="both"/>
              <w:rPr>
                <w:sz w:val="24"/>
                <w:szCs w:val="24"/>
              </w:rPr>
            </w:pPr>
            <w:r w:rsidRPr="00192207">
              <w:rPr>
                <w:sz w:val="24"/>
                <w:szCs w:val="24"/>
              </w:rPr>
              <w:t>Entrate</w:t>
            </w:r>
            <w:r w:rsidR="00594053" w:rsidRPr="00192207">
              <w:rPr>
                <w:sz w:val="24"/>
                <w:szCs w:val="24"/>
              </w:rPr>
              <w:t xml:space="preserve"> </w:t>
            </w:r>
            <w:r w:rsidRPr="00192207">
              <w:rPr>
                <w:sz w:val="24"/>
                <w:szCs w:val="24"/>
              </w:rPr>
              <w:t>da</w:t>
            </w:r>
            <w:r w:rsidR="00594053" w:rsidRPr="00192207">
              <w:rPr>
                <w:sz w:val="24"/>
                <w:szCs w:val="24"/>
              </w:rPr>
              <w:t xml:space="preserve"> </w:t>
            </w:r>
            <w:r w:rsidRPr="00192207">
              <w:rPr>
                <w:sz w:val="24"/>
                <w:szCs w:val="24"/>
              </w:rPr>
              <w:t>dismissioni</w:t>
            </w:r>
          </w:p>
        </w:tc>
        <w:tc>
          <w:tcPr>
            <w:tcW w:w="2311" w:type="dxa"/>
          </w:tcPr>
          <w:p w:rsidR="00041D52" w:rsidRPr="00192207" w:rsidRDefault="00185844" w:rsidP="007A2670">
            <w:pPr>
              <w:snapToGrid w:val="0"/>
              <w:jc w:val="right"/>
              <w:rPr>
                <w:sz w:val="24"/>
                <w:szCs w:val="24"/>
              </w:rPr>
            </w:pPr>
            <w:r w:rsidRPr="00192207">
              <w:rPr>
                <w:sz w:val="24"/>
                <w:szCs w:val="24"/>
              </w:rPr>
              <w:t>0</w:t>
            </w:r>
          </w:p>
        </w:tc>
      </w:tr>
      <w:tr w:rsidR="00041D52" w:rsidRPr="00192207">
        <w:tc>
          <w:tcPr>
            <w:tcW w:w="4500" w:type="dxa"/>
          </w:tcPr>
          <w:p w:rsidR="00041D52" w:rsidRPr="00192207" w:rsidRDefault="00041D52" w:rsidP="007A2670">
            <w:pPr>
              <w:jc w:val="both"/>
              <w:rPr>
                <w:sz w:val="24"/>
                <w:szCs w:val="24"/>
              </w:rPr>
            </w:pPr>
            <w:r w:rsidRPr="00192207">
              <w:rPr>
                <w:sz w:val="24"/>
                <w:szCs w:val="24"/>
              </w:rPr>
              <w:t>Entrate</w:t>
            </w:r>
            <w:r w:rsidR="00594053" w:rsidRPr="00192207">
              <w:rPr>
                <w:sz w:val="24"/>
                <w:szCs w:val="24"/>
              </w:rPr>
              <w:t xml:space="preserve"> </w:t>
            </w:r>
            <w:r w:rsidRPr="00192207">
              <w:rPr>
                <w:sz w:val="24"/>
                <w:szCs w:val="24"/>
              </w:rPr>
              <w:t>da</w:t>
            </w:r>
            <w:r w:rsidR="00594053" w:rsidRPr="00192207">
              <w:rPr>
                <w:sz w:val="24"/>
                <w:szCs w:val="24"/>
              </w:rPr>
              <w:t xml:space="preserve"> </w:t>
            </w:r>
            <w:r w:rsidRPr="00192207">
              <w:rPr>
                <w:sz w:val="24"/>
                <w:szCs w:val="24"/>
              </w:rPr>
              <w:t>gestione</w:t>
            </w:r>
            <w:r w:rsidR="00594053" w:rsidRPr="00192207">
              <w:rPr>
                <w:sz w:val="24"/>
                <w:szCs w:val="24"/>
              </w:rPr>
              <w:t xml:space="preserve"> </w:t>
            </w:r>
            <w:r w:rsidRPr="00192207">
              <w:rPr>
                <w:sz w:val="24"/>
                <w:szCs w:val="24"/>
              </w:rPr>
              <w:t>finanziaria</w:t>
            </w:r>
          </w:p>
        </w:tc>
        <w:tc>
          <w:tcPr>
            <w:tcW w:w="2311" w:type="dxa"/>
          </w:tcPr>
          <w:p w:rsidR="00041D52" w:rsidRPr="00192207" w:rsidRDefault="00594053" w:rsidP="00B63C45">
            <w:pPr>
              <w:snapToGrid w:val="0"/>
              <w:jc w:val="center"/>
              <w:rPr>
                <w:sz w:val="24"/>
                <w:szCs w:val="24"/>
              </w:rPr>
            </w:pPr>
            <w:r w:rsidRPr="00192207">
              <w:rPr>
                <w:sz w:val="24"/>
                <w:szCs w:val="24"/>
              </w:rPr>
              <w:t xml:space="preserve">                </w:t>
            </w:r>
            <w:r w:rsidR="00185844" w:rsidRPr="00192207">
              <w:rPr>
                <w:sz w:val="24"/>
                <w:szCs w:val="24"/>
              </w:rPr>
              <w:t xml:space="preserve">   </w:t>
            </w:r>
            <w:r w:rsidR="00B63C45">
              <w:rPr>
                <w:sz w:val="24"/>
                <w:szCs w:val="24"/>
              </w:rPr>
              <w:t>606</w:t>
            </w:r>
            <w:r w:rsidR="00D52AC9" w:rsidRPr="00192207">
              <w:rPr>
                <w:sz w:val="24"/>
                <w:szCs w:val="24"/>
              </w:rPr>
              <w:t>.</w:t>
            </w:r>
            <w:r w:rsidR="00FB42EF" w:rsidRPr="00192207">
              <w:rPr>
                <w:sz w:val="24"/>
                <w:szCs w:val="24"/>
              </w:rPr>
              <w:t>0</w:t>
            </w:r>
            <w:r w:rsidR="00D52AC9" w:rsidRPr="00192207">
              <w:rPr>
                <w:sz w:val="24"/>
                <w:szCs w:val="24"/>
              </w:rPr>
              <w:t>00</w:t>
            </w:r>
          </w:p>
        </w:tc>
      </w:tr>
      <w:tr w:rsidR="00041D52" w:rsidRPr="00192207">
        <w:tc>
          <w:tcPr>
            <w:tcW w:w="4500" w:type="dxa"/>
          </w:tcPr>
          <w:p w:rsidR="00041D52" w:rsidRPr="00192207" w:rsidRDefault="00041D52" w:rsidP="007A2670">
            <w:pPr>
              <w:jc w:val="both"/>
              <w:rPr>
                <w:sz w:val="24"/>
                <w:szCs w:val="24"/>
              </w:rPr>
            </w:pPr>
            <w:r w:rsidRPr="00192207">
              <w:rPr>
                <w:sz w:val="24"/>
                <w:szCs w:val="24"/>
              </w:rPr>
              <w:t>Uscite</w:t>
            </w:r>
            <w:r w:rsidR="00594053" w:rsidRPr="00192207">
              <w:rPr>
                <w:sz w:val="24"/>
                <w:szCs w:val="24"/>
              </w:rPr>
              <w:t xml:space="preserve"> </w:t>
            </w:r>
            <w:r w:rsidRPr="00192207">
              <w:rPr>
                <w:sz w:val="24"/>
                <w:szCs w:val="24"/>
              </w:rPr>
              <w:t>da</w:t>
            </w:r>
            <w:r w:rsidR="00594053" w:rsidRPr="00192207">
              <w:rPr>
                <w:sz w:val="24"/>
                <w:szCs w:val="24"/>
              </w:rPr>
              <w:t xml:space="preserve"> </w:t>
            </w:r>
            <w:r w:rsidRPr="00192207">
              <w:rPr>
                <w:sz w:val="24"/>
                <w:szCs w:val="24"/>
              </w:rPr>
              <w:t>gestione</w:t>
            </w:r>
            <w:r w:rsidR="00594053" w:rsidRPr="00192207">
              <w:rPr>
                <w:sz w:val="24"/>
                <w:szCs w:val="24"/>
              </w:rPr>
              <w:t xml:space="preserve"> </w:t>
            </w:r>
            <w:r w:rsidRPr="00192207">
              <w:rPr>
                <w:sz w:val="24"/>
                <w:szCs w:val="24"/>
              </w:rPr>
              <w:t>economica</w:t>
            </w:r>
          </w:p>
        </w:tc>
        <w:tc>
          <w:tcPr>
            <w:tcW w:w="2311" w:type="dxa"/>
          </w:tcPr>
          <w:p w:rsidR="00041D52" w:rsidRPr="00192207" w:rsidRDefault="00594053" w:rsidP="00B63C45">
            <w:pPr>
              <w:snapToGrid w:val="0"/>
              <w:jc w:val="right"/>
              <w:rPr>
                <w:sz w:val="24"/>
                <w:szCs w:val="24"/>
              </w:rPr>
            </w:pPr>
            <w:r w:rsidRPr="00192207">
              <w:rPr>
                <w:sz w:val="24"/>
                <w:szCs w:val="24"/>
              </w:rPr>
              <w:t xml:space="preserve"> </w:t>
            </w:r>
            <w:r w:rsidR="00B63C45">
              <w:rPr>
                <w:sz w:val="24"/>
                <w:szCs w:val="24"/>
              </w:rPr>
              <w:t>898</w:t>
            </w:r>
            <w:r w:rsidR="00041D52" w:rsidRPr="00192207">
              <w:rPr>
                <w:sz w:val="24"/>
                <w:szCs w:val="24"/>
              </w:rPr>
              <w:t>.</w:t>
            </w:r>
            <w:r w:rsidR="00B63C45">
              <w:rPr>
                <w:sz w:val="24"/>
                <w:szCs w:val="24"/>
              </w:rPr>
              <w:t>0</w:t>
            </w:r>
            <w:r w:rsidR="00041D52" w:rsidRPr="00192207">
              <w:rPr>
                <w:sz w:val="24"/>
                <w:szCs w:val="24"/>
              </w:rPr>
              <w:t>00</w:t>
            </w:r>
          </w:p>
        </w:tc>
      </w:tr>
      <w:tr w:rsidR="00041D52" w:rsidRPr="00192207">
        <w:tc>
          <w:tcPr>
            <w:tcW w:w="4500" w:type="dxa"/>
          </w:tcPr>
          <w:p w:rsidR="00041D52" w:rsidRPr="00192207" w:rsidRDefault="00041D52" w:rsidP="007A2670">
            <w:pPr>
              <w:jc w:val="both"/>
              <w:rPr>
                <w:sz w:val="24"/>
                <w:szCs w:val="24"/>
              </w:rPr>
            </w:pPr>
            <w:r w:rsidRPr="00192207">
              <w:rPr>
                <w:sz w:val="24"/>
                <w:szCs w:val="24"/>
              </w:rPr>
              <w:t>Uscite</w:t>
            </w:r>
            <w:r w:rsidR="00594053" w:rsidRPr="00192207">
              <w:rPr>
                <w:sz w:val="24"/>
                <w:szCs w:val="24"/>
              </w:rPr>
              <w:t xml:space="preserve"> </w:t>
            </w:r>
            <w:r w:rsidRPr="00192207">
              <w:rPr>
                <w:sz w:val="24"/>
                <w:szCs w:val="24"/>
              </w:rPr>
              <w:t>da</w:t>
            </w:r>
            <w:r w:rsidR="00594053" w:rsidRPr="00192207">
              <w:rPr>
                <w:sz w:val="24"/>
                <w:szCs w:val="24"/>
              </w:rPr>
              <w:t xml:space="preserve"> </w:t>
            </w:r>
            <w:r w:rsidRPr="00192207">
              <w:rPr>
                <w:sz w:val="24"/>
                <w:szCs w:val="24"/>
              </w:rPr>
              <w:t>investimenti</w:t>
            </w:r>
          </w:p>
        </w:tc>
        <w:tc>
          <w:tcPr>
            <w:tcW w:w="2311" w:type="dxa"/>
          </w:tcPr>
          <w:p w:rsidR="00041D52" w:rsidRPr="00192207" w:rsidRDefault="00FB42EF" w:rsidP="00B63C45">
            <w:pPr>
              <w:snapToGrid w:val="0"/>
              <w:jc w:val="right"/>
              <w:rPr>
                <w:sz w:val="24"/>
                <w:szCs w:val="24"/>
              </w:rPr>
            </w:pPr>
            <w:r w:rsidRPr="00192207">
              <w:rPr>
                <w:sz w:val="24"/>
                <w:szCs w:val="24"/>
              </w:rPr>
              <w:t xml:space="preserve">- </w:t>
            </w:r>
            <w:r w:rsidR="00B63C45">
              <w:rPr>
                <w:sz w:val="24"/>
                <w:szCs w:val="24"/>
              </w:rPr>
              <w:t>10</w:t>
            </w:r>
            <w:r w:rsidR="00041D52" w:rsidRPr="00192207">
              <w:rPr>
                <w:sz w:val="24"/>
                <w:szCs w:val="24"/>
              </w:rPr>
              <w:t>.</w:t>
            </w:r>
            <w:r w:rsidR="00B63C45">
              <w:rPr>
                <w:sz w:val="24"/>
                <w:szCs w:val="24"/>
              </w:rPr>
              <w:t>0</w:t>
            </w:r>
            <w:r w:rsidR="00041D52" w:rsidRPr="00192207">
              <w:rPr>
                <w:sz w:val="24"/>
                <w:szCs w:val="24"/>
              </w:rPr>
              <w:t>00</w:t>
            </w:r>
          </w:p>
        </w:tc>
      </w:tr>
      <w:tr w:rsidR="00041D52" w:rsidRPr="00192207">
        <w:tc>
          <w:tcPr>
            <w:tcW w:w="4500" w:type="dxa"/>
          </w:tcPr>
          <w:p w:rsidR="00041D52" w:rsidRPr="00192207" w:rsidRDefault="00041D52" w:rsidP="007A2670">
            <w:pPr>
              <w:jc w:val="both"/>
              <w:rPr>
                <w:sz w:val="24"/>
                <w:szCs w:val="24"/>
              </w:rPr>
            </w:pPr>
            <w:r w:rsidRPr="00192207">
              <w:rPr>
                <w:sz w:val="24"/>
                <w:szCs w:val="24"/>
              </w:rPr>
              <w:t>Uscite</w:t>
            </w:r>
            <w:r w:rsidR="00594053" w:rsidRPr="00192207">
              <w:rPr>
                <w:sz w:val="24"/>
                <w:szCs w:val="24"/>
              </w:rPr>
              <w:t xml:space="preserve"> </w:t>
            </w:r>
            <w:r w:rsidRPr="00192207">
              <w:rPr>
                <w:sz w:val="24"/>
                <w:szCs w:val="24"/>
              </w:rPr>
              <w:t>da</w:t>
            </w:r>
            <w:r w:rsidR="00594053" w:rsidRPr="00192207">
              <w:rPr>
                <w:sz w:val="24"/>
                <w:szCs w:val="24"/>
              </w:rPr>
              <w:t xml:space="preserve"> </w:t>
            </w:r>
            <w:r w:rsidRPr="00192207">
              <w:rPr>
                <w:sz w:val="24"/>
                <w:szCs w:val="24"/>
              </w:rPr>
              <w:t>gestione</w:t>
            </w:r>
            <w:r w:rsidR="00594053" w:rsidRPr="00192207">
              <w:rPr>
                <w:sz w:val="24"/>
                <w:szCs w:val="24"/>
              </w:rPr>
              <w:t xml:space="preserve"> </w:t>
            </w:r>
            <w:r w:rsidRPr="00192207">
              <w:rPr>
                <w:sz w:val="24"/>
                <w:szCs w:val="24"/>
              </w:rPr>
              <w:t>finanziaria</w:t>
            </w:r>
          </w:p>
        </w:tc>
        <w:tc>
          <w:tcPr>
            <w:tcW w:w="2311" w:type="dxa"/>
          </w:tcPr>
          <w:p w:rsidR="00041D52" w:rsidRPr="00192207" w:rsidRDefault="00594053" w:rsidP="00B63C45">
            <w:pPr>
              <w:snapToGrid w:val="0"/>
              <w:jc w:val="right"/>
              <w:rPr>
                <w:sz w:val="24"/>
                <w:szCs w:val="24"/>
              </w:rPr>
            </w:pPr>
            <w:r w:rsidRPr="00192207">
              <w:rPr>
                <w:sz w:val="24"/>
                <w:szCs w:val="24"/>
              </w:rPr>
              <w:t xml:space="preserve"> </w:t>
            </w:r>
            <w:r w:rsidR="00FB42EF" w:rsidRPr="00192207">
              <w:rPr>
                <w:sz w:val="24"/>
                <w:szCs w:val="24"/>
              </w:rPr>
              <w:t xml:space="preserve">- </w:t>
            </w:r>
            <w:r w:rsidR="006F60CE" w:rsidRPr="00192207">
              <w:rPr>
                <w:sz w:val="24"/>
                <w:szCs w:val="24"/>
              </w:rPr>
              <w:t>3</w:t>
            </w:r>
            <w:r w:rsidR="00B63C45">
              <w:rPr>
                <w:sz w:val="24"/>
                <w:szCs w:val="24"/>
              </w:rPr>
              <w:t>29</w:t>
            </w:r>
            <w:r w:rsidR="00D52AC9" w:rsidRPr="00192207">
              <w:rPr>
                <w:sz w:val="24"/>
                <w:szCs w:val="24"/>
              </w:rPr>
              <w:t>.000</w:t>
            </w:r>
          </w:p>
        </w:tc>
      </w:tr>
      <w:tr w:rsidR="00041D52" w:rsidRPr="00192207">
        <w:tc>
          <w:tcPr>
            <w:tcW w:w="4500" w:type="dxa"/>
          </w:tcPr>
          <w:p w:rsidR="00041D52" w:rsidRPr="00192207" w:rsidRDefault="00041D52" w:rsidP="00B63C45">
            <w:pPr>
              <w:jc w:val="both"/>
              <w:rPr>
                <w:sz w:val="24"/>
                <w:szCs w:val="24"/>
              </w:rPr>
            </w:pPr>
            <w:r w:rsidRPr="00192207">
              <w:rPr>
                <w:sz w:val="24"/>
                <w:szCs w:val="24"/>
              </w:rPr>
              <w:t>Saldo</w:t>
            </w:r>
            <w:r w:rsidR="00594053" w:rsidRPr="00192207">
              <w:rPr>
                <w:sz w:val="24"/>
                <w:szCs w:val="24"/>
              </w:rPr>
              <w:t xml:space="preserve"> </w:t>
            </w:r>
            <w:r w:rsidRPr="00192207">
              <w:rPr>
                <w:sz w:val="24"/>
                <w:szCs w:val="24"/>
              </w:rPr>
              <w:t>finale</w:t>
            </w:r>
            <w:r w:rsidR="00594053" w:rsidRPr="00192207">
              <w:rPr>
                <w:sz w:val="24"/>
                <w:szCs w:val="24"/>
              </w:rPr>
              <w:t xml:space="preserve"> </w:t>
            </w:r>
            <w:r w:rsidRPr="00192207">
              <w:rPr>
                <w:sz w:val="24"/>
                <w:szCs w:val="24"/>
              </w:rPr>
              <w:t>presunto</w:t>
            </w:r>
            <w:r w:rsidR="00594053" w:rsidRPr="00192207">
              <w:rPr>
                <w:sz w:val="24"/>
                <w:szCs w:val="24"/>
              </w:rPr>
              <w:t xml:space="preserve"> </w:t>
            </w:r>
            <w:r w:rsidRPr="00192207">
              <w:rPr>
                <w:sz w:val="24"/>
                <w:szCs w:val="24"/>
              </w:rPr>
              <w:t>al</w:t>
            </w:r>
            <w:r w:rsidR="00594053" w:rsidRPr="00192207">
              <w:rPr>
                <w:sz w:val="24"/>
                <w:szCs w:val="24"/>
              </w:rPr>
              <w:t xml:space="preserve"> </w:t>
            </w:r>
            <w:r w:rsidR="00E92770" w:rsidRPr="00192207">
              <w:rPr>
                <w:sz w:val="24"/>
                <w:szCs w:val="24"/>
              </w:rPr>
              <w:t>31/12/201</w:t>
            </w:r>
            <w:r w:rsidR="00B63C45">
              <w:rPr>
                <w:sz w:val="24"/>
                <w:szCs w:val="24"/>
              </w:rPr>
              <w:t>9</w:t>
            </w:r>
          </w:p>
        </w:tc>
        <w:tc>
          <w:tcPr>
            <w:tcW w:w="2311" w:type="dxa"/>
          </w:tcPr>
          <w:p w:rsidR="00041D52" w:rsidRPr="00192207" w:rsidRDefault="00B30FA6" w:rsidP="00B63C45">
            <w:pPr>
              <w:tabs>
                <w:tab w:val="center" w:pos="1062"/>
                <w:tab w:val="right" w:pos="2125"/>
              </w:tabs>
              <w:snapToGrid w:val="0"/>
              <w:jc w:val="right"/>
              <w:rPr>
                <w:b/>
                <w:sz w:val="24"/>
                <w:szCs w:val="24"/>
              </w:rPr>
            </w:pPr>
            <w:r w:rsidRPr="00192207">
              <w:rPr>
                <w:b/>
                <w:sz w:val="24"/>
                <w:szCs w:val="24"/>
              </w:rPr>
              <w:t xml:space="preserve">    </w:t>
            </w:r>
            <w:r w:rsidR="00B63C45">
              <w:rPr>
                <w:b/>
                <w:sz w:val="24"/>
                <w:szCs w:val="24"/>
              </w:rPr>
              <w:t>7</w:t>
            </w:r>
            <w:r w:rsidR="00041D52" w:rsidRPr="00192207">
              <w:rPr>
                <w:b/>
                <w:sz w:val="24"/>
                <w:szCs w:val="24"/>
              </w:rPr>
              <w:t>.</w:t>
            </w:r>
            <w:r w:rsidR="00192207" w:rsidRPr="00192207">
              <w:rPr>
                <w:b/>
                <w:sz w:val="24"/>
                <w:szCs w:val="24"/>
              </w:rPr>
              <w:t>0</w:t>
            </w:r>
            <w:r w:rsidR="00041D52" w:rsidRPr="00192207">
              <w:rPr>
                <w:b/>
                <w:sz w:val="24"/>
                <w:szCs w:val="24"/>
              </w:rPr>
              <w:t>00</w:t>
            </w:r>
          </w:p>
        </w:tc>
      </w:tr>
    </w:tbl>
    <w:p w:rsidR="0093461C" w:rsidRDefault="0093461C" w:rsidP="0093461C">
      <w:pPr>
        <w:ind w:firstLine="360"/>
        <w:jc w:val="both"/>
        <w:rPr>
          <w:sz w:val="24"/>
          <w:szCs w:val="24"/>
        </w:rPr>
      </w:pPr>
    </w:p>
    <w:p w:rsidR="00030FB4" w:rsidRPr="00192207" w:rsidRDefault="00030FB4" w:rsidP="0093461C">
      <w:pPr>
        <w:ind w:firstLine="360"/>
        <w:jc w:val="both"/>
        <w:rPr>
          <w:sz w:val="24"/>
          <w:szCs w:val="24"/>
        </w:rPr>
      </w:pPr>
    </w:p>
    <w:p w:rsidR="008E703A" w:rsidRPr="00192207" w:rsidRDefault="00B44689" w:rsidP="00D50F0B">
      <w:pPr>
        <w:jc w:val="both"/>
        <w:rPr>
          <w:sz w:val="24"/>
          <w:szCs w:val="24"/>
        </w:rPr>
      </w:pPr>
      <w:r w:rsidRPr="00192207">
        <w:rPr>
          <w:sz w:val="24"/>
          <w:szCs w:val="24"/>
        </w:rPr>
        <w:t>Il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Collegio,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constatato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che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il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prospetto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è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conforme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allo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schema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allegato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al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Regolamento,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evidenzia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che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in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esso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sono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esposte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le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dinamiche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dei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flussi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di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cassa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e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delle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disponibilità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liquide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previste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per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l’esercizio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201</w:t>
      </w:r>
      <w:r w:rsidR="00B63C45">
        <w:rPr>
          <w:sz w:val="24"/>
          <w:szCs w:val="24"/>
        </w:rPr>
        <w:t>9</w:t>
      </w:r>
      <w:r w:rsidRPr="00192207">
        <w:rPr>
          <w:sz w:val="24"/>
          <w:szCs w:val="24"/>
        </w:rPr>
        <w:t>.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Il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saldo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finanziario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della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gestione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economica,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ovvero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la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differenza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tra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le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entrate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e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le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uscite,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è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previsto</w:t>
      </w:r>
      <w:r w:rsidR="00594053" w:rsidRPr="00192207">
        <w:rPr>
          <w:sz w:val="24"/>
          <w:szCs w:val="24"/>
        </w:rPr>
        <w:t xml:space="preserve"> </w:t>
      </w:r>
      <w:r w:rsidR="00125C94" w:rsidRPr="00192207">
        <w:rPr>
          <w:sz w:val="24"/>
          <w:szCs w:val="24"/>
        </w:rPr>
        <w:t>in</w:t>
      </w:r>
      <w:r w:rsidR="00594053" w:rsidRPr="00192207">
        <w:rPr>
          <w:sz w:val="24"/>
          <w:szCs w:val="24"/>
        </w:rPr>
        <w:t xml:space="preserve"> </w:t>
      </w:r>
      <w:r w:rsidR="00655AB7" w:rsidRPr="00192207">
        <w:rPr>
          <w:sz w:val="24"/>
          <w:szCs w:val="24"/>
        </w:rPr>
        <w:t>positivo</w:t>
      </w:r>
      <w:r w:rsidR="00594053" w:rsidRPr="00192207">
        <w:rPr>
          <w:sz w:val="24"/>
          <w:szCs w:val="24"/>
        </w:rPr>
        <w:t xml:space="preserve"> </w:t>
      </w:r>
      <w:r w:rsidR="00E73F10" w:rsidRPr="00192207">
        <w:rPr>
          <w:sz w:val="24"/>
          <w:szCs w:val="24"/>
        </w:rPr>
        <w:t>per</w:t>
      </w:r>
      <w:r w:rsidR="00594053" w:rsidRPr="00192207">
        <w:rPr>
          <w:sz w:val="24"/>
          <w:szCs w:val="24"/>
        </w:rPr>
        <w:t xml:space="preserve"> </w:t>
      </w:r>
      <w:r w:rsidR="00E73F10" w:rsidRPr="00192207">
        <w:rPr>
          <w:sz w:val="24"/>
          <w:szCs w:val="24"/>
        </w:rPr>
        <w:t>€</w:t>
      </w:r>
      <w:r w:rsidR="00594053" w:rsidRPr="00192207">
        <w:rPr>
          <w:sz w:val="24"/>
          <w:szCs w:val="24"/>
        </w:rPr>
        <w:t xml:space="preserve"> </w:t>
      </w:r>
      <w:r w:rsidR="00B63C45">
        <w:rPr>
          <w:sz w:val="24"/>
          <w:szCs w:val="24"/>
        </w:rPr>
        <w:t>35</w:t>
      </w:r>
      <w:r w:rsidR="00F57F63" w:rsidRPr="00192207">
        <w:rPr>
          <w:sz w:val="24"/>
          <w:szCs w:val="24"/>
        </w:rPr>
        <w:t>.</w:t>
      </w:r>
      <w:r w:rsidR="00B63C45">
        <w:rPr>
          <w:sz w:val="24"/>
          <w:szCs w:val="24"/>
        </w:rPr>
        <w:t>0</w:t>
      </w:r>
      <w:r w:rsidR="00F57F63" w:rsidRPr="00192207">
        <w:rPr>
          <w:sz w:val="24"/>
          <w:szCs w:val="24"/>
        </w:rPr>
        <w:t>00</w:t>
      </w:r>
      <w:r w:rsidR="002A5A15" w:rsidRPr="00192207">
        <w:rPr>
          <w:sz w:val="24"/>
          <w:szCs w:val="24"/>
        </w:rPr>
        <w:t>.</w:t>
      </w:r>
      <w:r w:rsidR="00594053" w:rsidRPr="00192207">
        <w:rPr>
          <w:sz w:val="24"/>
          <w:szCs w:val="24"/>
        </w:rPr>
        <w:t xml:space="preserve"> </w:t>
      </w:r>
      <w:r w:rsidR="002A5A15" w:rsidRPr="00192207">
        <w:rPr>
          <w:sz w:val="24"/>
          <w:szCs w:val="24"/>
        </w:rPr>
        <w:t>I</w:t>
      </w:r>
      <w:r w:rsidRPr="00192207">
        <w:rPr>
          <w:sz w:val="24"/>
          <w:szCs w:val="24"/>
        </w:rPr>
        <w:t>l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differenziale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tra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entrate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da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dismissioni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al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netto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delle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uscite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da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investimenti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risulta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negativo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per</w:t>
      </w:r>
      <w:r w:rsidR="00594053" w:rsidRPr="00192207">
        <w:rPr>
          <w:sz w:val="24"/>
          <w:szCs w:val="24"/>
        </w:rPr>
        <w:t xml:space="preserve"> </w:t>
      </w:r>
      <w:r w:rsidRPr="00192207">
        <w:rPr>
          <w:sz w:val="24"/>
          <w:szCs w:val="24"/>
        </w:rPr>
        <w:t>€</w:t>
      </w:r>
      <w:r w:rsidR="00594053" w:rsidRPr="00192207">
        <w:rPr>
          <w:sz w:val="24"/>
          <w:szCs w:val="24"/>
        </w:rPr>
        <w:t xml:space="preserve"> </w:t>
      </w:r>
      <w:r w:rsidR="00B63C45">
        <w:rPr>
          <w:sz w:val="24"/>
          <w:szCs w:val="24"/>
        </w:rPr>
        <w:t>10</w:t>
      </w:r>
      <w:r w:rsidR="002A5A15" w:rsidRPr="00192207">
        <w:rPr>
          <w:sz w:val="24"/>
          <w:szCs w:val="24"/>
        </w:rPr>
        <w:t>.</w:t>
      </w:r>
      <w:r w:rsidR="00B63C45">
        <w:rPr>
          <w:sz w:val="24"/>
          <w:szCs w:val="24"/>
        </w:rPr>
        <w:t>0</w:t>
      </w:r>
      <w:r w:rsidR="002A5A15" w:rsidRPr="00192207">
        <w:rPr>
          <w:sz w:val="24"/>
          <w:szCs w:val="24"/>
        </w:rPr>
        <w:t>00</w:t>
      </w:r>
      <w:r w:rsidR="00594053" w:rsidRPr="00192207">
        <w:rPr>
          <w:sz w:val="24"/>
          <w:szCs w:val="24"/>
        </w:rPr>
        <w:t xml:space="preserve"> </w:t>
      </w:r>
      <w:r w:rsidR="008E703A" w:rsidRPr="00192207">
        <w:rPr>
          <w:sz w:val="24"/>
          <w:szCs w:val="24"/>
        </w:rPr>
        <w:t>ed</w:t>
      </w:r>
      <w:r w:rsidR="00594053" w:rsidRPr="00192207">
        <w:rPr>
          <w:sz w:val="24"/>
          <w:szCs w:val="24"/>
        </w:rPr>
        <w:t xml:space="preserve"> </w:t>
      </w:r>
      <w:r w:rsidR="008E703A" w:rsidRPr="00192207">
        <w:rPr>
          <w:sz w:val="24"/>
          <w:szCs w:val="24"/>
        </w:rPr>
        <w:t>il</w:t>
      </w:r>
      <w:r w:rsidR="00594053" w:rsidRPr="00192207">
        <w:rPr>
          <w:sz w:val="24"/>
          <w:szCs w:val="24"/>
        </w:rPr>
        <w:t xml:space="preserve"> </w:t>
      </w:r>
      <w:r w:rsidR="008E703A" w:rsidRPr="00192207">
        <w:rPr>
          <w:sz w:val="24"/>
          <w:szCs w:val="24"/>
        </w:rPr>
        <w:t>saldo</w:t>
      </w:r>
      <w:r w:rsidR="00594053" w:rsidRPr="00192207">
        <w:rPr>
          <w:sz w:val="24"/>
          <w:szCs w:val="24"/>
        </w:rPr>
        <w:t xml:space="preserve"> </w:t>
      </w:r>
      <w:r w:rsidR="008E703A" w:rsidRPr="00192207">
        <w:rPr>
          <w:sz w:val="24"/>
          <w:szCs w:val="24"/>
        </w:rPr>
        <w:t>tra</w:t>
      </w:r>
      <w:r w:rsidR="00594053" w:rsidRPr="00192207">
        <w:rPr>
          <w:sz w:val="24"/>
          <w:szCs w:val="24"/>
        </w:rPr>
        <w:t xml:space="preserve"> </w:t>
      </w:r>
      <w:r w:rsidR="008E703A" w:rsidRPr="00192207">
        <w:rPr>
          <w:sz w:val="24"/>
          <w:szCs w:val="24"/>
        </w:rPr>
        <w:t>le</w:t>
      </w:r>
      <w:r w:rsidR="00594053" w:rsidRPr="00192207">
        <w:rPr>
          <w:sz w:val="24"/>
          <w:szCs w:val="24"/>
        </w:rPr>
        <w:t xml:space="preserve"> </w:t>
      </w:r>
      <w:r w:rsidR="008E703A" w:rsidRPr="00192207">
        <w:rPr>
          <w:sz w:val="24"/>
          <w:szCs w:val="24"/>
        </w:rPr>
        <w:t>entrate</w:t>
      </w:r>
      <w:r w:rsidR="00594053" w:rsidRPr="00192207">
        <w:rPr>
          <w:sz w:val="24"/>
          <w:szCs w:val="24"/>
        </w:rPr>
        <w:t xml:space="preserve"> </w:t>
      </w:r>
      <w:r w:rsidR="008E703A" w:rsidRPr="00192207">
        <w:rPr>
          <w:sz w:val="24"/>
          <w:szCs w:val="24"/>
        </w:rPr>
        <w:t>e</w:t>
      </w:r>
      <w:r w:rsidR="00594053" w:rsidRPr="00192207">
        <w:rPr>
          <w:sz w:val="24"/>
          <w:szCs w:val="24"/>
        </w:rPr>
        <w:t xml:space="preserve"> </w:t>
      </w:r>
      <w:r w:rsidR="008E703A" w:rsidRPr="00192207">
        <w:rPr>
          <w:sz w:val="24"/>
          <w:szCs w:val="24"/>
        </w:rPr>
        <w:t>le</w:t>
      </w:r>
      <w:r w:rsidR="00594053" w:rsidRPr="00192207">
        <w:rPr>
          <w:sz w:val="24"/>
          <w:szCs w:val="24"/>
        </w:rPr>
        <w:t xml:space="preserve"> </w:t>
      </w:r>
      <w:r w:rsidR="008E703A" w:rsidRPr="00192207">
        <w:rPr>
          <w:sz w:val="24"/>
          <w:szCs w:val="24"/>
        </w:rPr>
        <w:t>uscite</w:t>
      </w:r>
      <w:r w:rsidR="00594053" w:rsidRPr="00192207">
        <w:rPr>
          <w:sz w:val="24"/>
          <w:szCs w:val="24"/>
        </w:rPr>
        <w:t xml:space="preserve"> </w:t>
      </w:r>
      <w:r w:rsidR="008E703A" w:rsidRPr="00192207">
        <w:rPr>
          <w:sz w:val="24"/>
          <w:szCs w:val="24"/>
        </w:rPr>
        <w:t>della</w:t>
      </w:r>
      <w:r w:rsidR="00594053" w:rsidRPr="00192207">
        <w:rPr>
          <w:sz w:val="24"/>
          <w:szCs w:val="24"/>
        </w:rPr>
        <w:t xml:space="preserve"> </w:t>
      </w:r>
      <w:r w:rsidR="008E703A" w:rsidRPr="00192207">
        <w:rPr>
          <w:sz w:val="24"/>
          <w:szCs w:val="24"/>
        </w:rPr>
        <w:t>gestione</w:t>
      </w:r>
      <w:r w:rsidR="00594053" w:rsidRPr="00192207">
        <w:rPr>
          <w:sz w:val="24"/>
          <w:szCs w:val="24"/>
        </w:rPr>
        <w:t xml:space="preserve"> </w:t>
      </w:r>
      <w:r w:rsidR="008E703A" w:rsidRPr="00192207">
        <w:rPr>
          <w:sz w:val="24"/>
          <w:szCs w:val="24"/>
        </w:rPr>
        <w:t>finanziaria</w:t>
      </w:r>
      <w:r w:rsidR="00594053" w:rsidRPr="00192207">
        <w:rPr>
          <w:sz w:val="24"/>
          <w:szCs w:val="24"/>
        </w:rPr>
        <w:t xml:space="preserve"> </w:t>
      </w:r>
      <w:r w:rsidR="008E703A" w:rsidRPr="00192207">
        <w:rPr>
          <w:sz w:val="24"/>
          <w:szCs w:val="24"/>
        </w:rPr>
        <w:t>è</w:t>
      </w:r>
      <w:r w:rsidR="00594053" w:rsidRPr="00192207">
        <w:rPr>
          <w:sz w:val="24"/>
          <w:szCs w:val="24"/>
        </w:rPr>
        <w:t xml:space="preserve"> </w:t>
      </w:r>
      <w:r w:rsidR="002F3374" w:rsidRPr="00192207">
        <w:rPr>
          <w:sz w:val="24"/>
          <w:szCs w:val="24"/>
        </w:rPr>
        <w:t>positivo</w:t>
      </w:r>
      <w:r w:rsidR="00594053" w:rsidRPr="00192207">
        <w:rPr>
          <w:sz w:val="24"/>
          <w:szCs w:val="24"/>
        </w:rPr>
        <w:t xml:space="preserve"> </w:t>
      </w:r>
      <w:r w:rsidR="008E703A" w:rsidRPr="00192207">
        <w:rPr>
          <w:sz w:val="24"/>
          <w:szCs w:val="24"/>
        </w:rPr>
        <w:t>per</w:t>
      </w:r>
      <w:r w:rsidR="00594053" w:rsidRPr="00192207">
        <w:rPr>
          <w:sz w:val="24"/>
          <w:szCs w:val="24"/>
        </w:rPr>
        <w:t xml:space="preserve"> </w:t>
      </w:r>
      <w:r w:rsidR="008E703A" w:rsidRPr="00192207">
        <w:rPr>
          <w:sz w:val="24"/>
          <w:szCs w:val="24"/>
        </w:rPr>
        <w:t>€</w:t>
      </w:r>
      <w:r w:rsidR="00594053" w:rsidRPr="00192207">
        <w:rPr>
          <w:sz w:val="24"/>
          <w:szCs w:val="24"/>
        </w:rPr>
        <w:t xml:space="preserve"> </w:t>
      </w:r>
      <w:r w:rsidR="00721D14" w:rsidRPr="00192207">
        <w:rPr>
          <w:sz w:val="24"/>
          <w:szCs w:val="24"/>
        </w:rPr>
        <w:t>2</w:t>
      </w:r>
      <w:r w:rsidR="00B63C45">
        <w:rPr>
          <w:sz w:val="24"/>
          <w:szCs w:val="24"/>
        </w:rPr>
        <w:t>77</w:t>
      </w:r>
      <w:r w:rsidR="008E703A" w:rsidRPr="00192207">
        <w:rPr>
          <w:sz w:val="24"/>
          <w:szCs w:val="24"/>
        </w:rPr>
        <w:t>.</w:t>
      </w:r>
      <w:r w:rsidR="00655AB7" w:rsidRPr="00192207">
        <w:rPr>
          <w:sz w:val="24"/>
          <w:szCs w:val="24"/>
        </w:rPr>
        <w:t>0</w:t>
      </w:r>
      <w:r w:rsidR="008E703A" w:rsidRPr="00192207">
        <w:rPr>
          <w:sz w:val="24"/>
          <w:szCs w:val="24"/>
        </w:rPr>
        <w:t>00.</w:t>
      </w:r>
      <w:r w:rsidR="00594053" w:rsidRPr="00192207">
        <w:rPr>
          <w:sz w:val="24"/>
          <w:szCs w:val="24"/>
        </w:rPr>
        <w:t xml:space="preserve"> </w:t>
      </w:r>
    </w:p>
    <w:p w:rsidR="00B44689" w:rsidRPr="00192207" w:rsidRDefault="00342E27" w:rsidP="0093461C">
      <w:pPr>
        <w:ind w:firstLine="360"/>
        <w:jc w:val="both"/>
        <w:rPr>
          <w:sz w:val="24"/>
          <w:szCs w:val="24"/>
        </w:rPr>
      </w:pPr>
      <w:r w:rsidRPr="00192207">
        <w:rPr>
          <w:sz w:val="24"/>
          <w:szCs w:val="24"/>
        </w:rPr>
        <w:t>.</w:t>
      </w:r>
    </w:p>
    <w:p w:rsidR="003201F2" w:rsidRPr="00192207" w:rsidRDefault="003201F2" w:rsidP="00B44689">
      <w:pPr>
        <w:ind w:firstLine="360"/>
        <w:jc w:val="center"/>
        <w:rPr>
          <w:sz w:val="24"/>
          <w:szCs w:val="24"/>
        </w:rPr>
      </w:pPr>
    </w:p>
    <w:p w:rsidR="00B44689" w:rsidRPr="00136E84" w:rsidRDefault="00B44689" w:rsidP="00B44689">
      <w:pPr>
        <w:ind w:firstLine="360"/>
        <w:jc w:val="center"/>
        <w:rPr>
          <w:sz w:val="24"/>
          <w:szCs w:val="24"/>
        </w:rPr>
      </w:pPr>
      <w:r w:rsidRPr="00136E84">
        <w:rPr>
          <w:sz w:val="24"/>
          <w:szCs w:val="24"/>
        </w:rPr>
        <w:lastRenderedPageBreak/>
        <w:t>*</w:t>
      </w:r>
      <w:r w:rsidR="00594053" w:rsidRPr="00136E84">
        <w:rPr>
          <w:sz w:val="24"/>
          <w:szCs w:val="24"/>
        </w:rPr>
        <w:t xml:space="preserve">    </w:t>
      </w:r>
      <w:r w:rsidRPr="00136E84">
        <w:rPr>
          <w:sz w:val="24"/>
          <w:szCs w:val="24"/>
        </w:rPr>
        <w:t>*</w:t>
      </w:r>
      <w:r w:rsidR="00594053" w:rsidRPr="00136E84">
        <w:rPr>
          <w:sz w:val="24"/>
          <w:szCs w:val="24"/>
        </w:rPr>
        <w:t xml:space="preserve">    </w:t>
      </w:r>
      <w:r w:rsidRPr="00136E84">
        <w:rPr>
          <w:sz w:val="24"/>
          <w:szCs w:val="24"/>
        </w:rPr>
        <w:t>*</w:t>
      </w:r>
    </w:p>
    <w:p w:rsidR="00B44689" w:rsidRPr="00136E84" w:rsidRDefault="00B44689" w:rsidP="0093461C">
      <w:pPr>
        <w:ind w:firstLine="360"/>
        <w:jc w:val="both"/>
        <w:rPr>
          <w:sz w:val="24"/>
          <w:szCs w:val="24"/>
        </w:rPr>
      </w:pPr>
    </w:p>
    <w:p w:rsidR="00030FB4" w:rsidRDefault="00030FB4" w:rsidP="00594053">
      <w:pPr>
        <w:jc w:val="both"/>
        <w:rPr>
          <w:sz w:val="24"/>
          <w:szCs w:val="24"/>
        </w:rPr>
      </w:pPr>
    </w:p>
    <w:p w:rsidR="002A6B39" w:rsidRPr="00136E84" w:rsidRDefault="002A6B39" w:rsidP="00594053">
      <w:pPr>
        <w:jc w:val="both"/>
        <w:rPr>
          <w:sz w:val="24"/>
          <w:szCs w:val="24"/>
        </w:rPr>
      </w:pPr>
      <w:r w:rsidRPr="00136E84">
        <w:rPr>
          <w:sz w:val="24"/>
          <w:szCs w:val="24"/>
        </w:rPr>
        <w:t>Conclusivamente,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il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Collegio:</w:t>
      </w:r>
    </w:p>
    <w:p w:rsidR="002A6B39" w:rsidRPr="00136E84" w:rsidRDefault="002A6B39" w:rsidP="0093461C">
      <w:pPr>
        <w:ind w:firstLine="360"/>
        <w:jc w:val="both"/>
        <w:rPr>
          <w:sz w:val="24"/>
          <w:szCs w:val="24"/>
        </w:rPr>
      </w:pPr>
    </w:p>
    <w:p w:rsidR="00144B62" w:rsidRPr="00136E84" w:rsidRDefault="002A6B39" w:rsidP="00144B62">
      <w:pPr>
        <w:numPr>
          <w:ilvl w:val="0"/>
          <w:numId w:val="4"/>
        </w:numPr>
        <w:jc w:val="both"/>
        <w:rPr>
          <w:sz w:val="24"/>
          <w:szCs w:val="24"/>
        </w:rPr>
      </w:pPr>
      <w:r w:rsidRPr="00136E84">
        <w:rPr>
          <w:sz w:val="24"/>
          <w:szCs w:val="24"/>
        </w:rPr>
        <w:t>constata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in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via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generale,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che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i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documenti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di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budget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evidenziano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l’obiettivo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di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coniugare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una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politica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di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contenimento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dei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costi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con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lo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sviluppo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delle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attività</w:t>
      </w:r>
      <w:r w:rsidR="00594053" w:rsidRPr="00136E84">
        <w:rPr>
          <w:sz w:val="24"/>
          <w:szCs w:val="24"/>
        </w:rPr>
        <w:t xml:space="preserve"> </w:t>
      </w:r>
      <w:r w:rsidR="00E507C6" w:rsidRPr="00136E84">
        <w:rPr>
          <w:sz w:val="24"/>
          <w:szCs w:val="24"/>
        </w:rPr>
        <w:t xml:space="preserve">come indicato nella relazione del Presidente, </w:t>
      </w:r>
      <w:r w:rsidRPr="00136E84">
        <w:rPr>
          <w:sz w:val="24"/>
          <w:szCs w:val="24"/>
        </w:rPr>
        <w:t>in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modo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tale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da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consentire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la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salvaguardia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dei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programmi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di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crescita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dell’associazionismo</w:t>
      </w:r>
      <w:r w:rsidR="00144B62" w:rsidRPr="00136E84">
        <w:rPr>
          <w:sz w:val="24"/>
          <w:szCs w:val="24"/>
        </w:rPr>
        <w:t>;</w:t>
      </w:r>
    </w:p>
    <w:p w:rsidR="00AC58C8" w:rsidRDefault="00AC58C8" w:rsidP="00144B62">
      <w:pPr>
        <w:numPr>
          <w:ilvl w:val="0"/>
          <w:numId w:val="4"/>
        </w:numPr>
        <w:jc w:val="both"/>
        <w:rPr>
          <w:sz w:val="24"/>
          <w:szCs w:val="24"/>
        </w:rPr>
      </w:pPr>
      <w:r w:rsidRPr="00136E84">
        <w:rPr>
          <w:sz w:val="24"/>
          <w:szCs w:val="24"/>
        </w:rPr>
        <w:t xml:space="preserve">constata che sono state intraprese </w:t>
      </w:r>
      <w:r w:rsidR="00F67D6D" w:rsidRPr="00136E84">
        <w:rPr>
          <w:sz w:val="24"/>
          <w:szCs w:val="24"/>
        </w:rPr>
        <w:t xml:space="preserve">le azioni di risparmio dei consumi intermedi </w:t>
      </w:r>
      <w:r w:rsidR="000D1DC0" w:rsidRPr="00136E84">
        <w:rPr>
          <w:sz w:val="24"/>
          <w:szCs w:val="24"/>
        </w:rPr>
        <w:t xml:space="preserve">così come previsto dal “Regolamento per l’adeguamento ai principi generali di razionalizzazione contenimento della spesa” di cui all’art.2 comma 2 bis </w:t>
      </w:r>
      <w:proofErr w:type="spellStart"/>
      <w:r w:rsidR="000D1DC0" w:rsidRPr="00136E84">
        <w:rPr>
          <w:sz w:val="24"/>
          <w:szCs w:val="24"/>
        </w:rPr>
        <w:t>DL</w:t>
      </w:r>
      <w:proofErr w:type="spellEnd"/>
      <w:r w:rsidR="000D1DC0" w:rsidRPr="00136E84">
        <w:rPr>
          <w:sz w:val="24"/>
          <w:szCs w:val="24"/>
        </w:rPr>
        <w:t xml:space="preserve"> 101/2013 (Delibera d’urgenza del Pre</w:t>
      </w:r>
      <w:r w:rsidR="009E0508" w:rsidRPr="00136E84">
        <w:rPr>
          <w:sz w:val="24"/>
          <w:szCs w:val="24"/>
        </w:rPr>
        <w:t>s</w:t>
      </w:r>
      <w:r w:rsidR="000D1DC0" w:rsidRPr="00136E84">
        <w:rPr>
          <w:sz w:val="24"/>
          <w:szCs w:val="24"/>
        </w:rPr>
        <w:t>idente 20/12/2013 ratificata dal Consiglio Direttivo in data 22/01/2014)</w:t>
      </w:r>
      <w:r w:rsidR="00F67D6D" w:rsidRPr="00136E84">
        <w:rPr>
          <w:sz w:val="24"/>
          <w:szCs w:val="24"/>
        </w:rPr>
        <w:t xml:space="preserve">; </w:t>
      </w:r>
    </w:p>
    <w:p w:rsidR="00BC29CF" w:rsidRPr="00BC29CF" w:rsidRDefault="00BC29CF" w:rsidP="00BC29CF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constata la conformità del Budget al "Regolamento per l'adeguamento ai principi generali di razionalizzazione e contenimento della spesa dell'AC Mantova per il triennio 2017-2019" approvato dal Consiglio Direttivo dell'Ente nella seduta del 27 ottobre 2016;</w:t>
      </w:r>
    </w:p>
    <w:p w:rsidR="000D1DC0" w:rsidRPr="00136E84" w:rsidRDefault="000D1DC0" w:rsidP="00144B62">
      <w:pPr>
        <w:numPr>
          <w:ilvl w:val="0"/>
          <w:numId w:val="4"/>
        </w:numPr>
        <w:jc w:val="both"/>
        <w:rPr>
          <w:sz w:val="24"/>
          <w:szCs w:val="24"/>
        </w:rPr>
      </w:pPr>
      <w:r w:rsidRPr="00136E84">
        <w:rPr>
          <w:sz w:val="24"/>
          <w:szCs w:val="24"/>
        </w:rPr>
        <w:t>constata che le previsioni economiche sono state formulate nel rispetto degli obiettivi fissati dal succitato Regolamento;</w:t>
      </w:r>
    </w:p>
    <w:p w:rsidR="00144B62" w:rsidRPr="00136E84" w:rsidRDefault="00144B62" w:rsidP="00144B62">
      <w:pPr>
        <w:numPr>
          <w:ilvl w:val="0"/>
          <w:numId w:val="4"/>
        </w:numPr>
        <w:jc w:val="both"/>
        <w:rPr>
          <w:sz w:val="24"/>
          <w:szCs w:val="24"/>
        </w:rPr>
      </w:pPr>
      <w:r w:rsidRPr="00136E84">
        <w:rPr>
          <w:sz w:val="24"/>
          <w:szCs w:val="24"/>
        </w:rPr>
        <w:t>relativamente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al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risultato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previsto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dell’esercizio,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in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utile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per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circa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€</w:t>
      </w:r>
      <w:r w:rsidR="00594053" w:rsidRPr="00136E84">
        <w:rPr>
          <w:sz w:val="24"/>
          <w:szCs w:val="24"/>
        </w:rPr>
        <w:t xml:space="preserve"> </w:t>
      </w:r>
      <w:r w:rsidR="00B63C45">
        <w:rPr>
          <w:sz w:val="24"/>
          <w:szCs w:val="24"/>
        </w:rPr>
        <w:t>46</w:t>
      </w:r>
      <w:r w:rsidRPr="00136E84">
        <w:rPr>
          <w:sz w:val="24"/>
          <w:szCs w:val="24"/>
        </w:rPr>
        <w:t>.</w:t>
      </w:r>
      <w:r w:rsidR="00B63C45">
        <w:rPr>
          <w:sz w:val="24"/>
          <w:szCs w:val="24"/>
        </w:rPr>
        <w:t>0</w:t>
      </w:r>
      <w:r w:rsidR="00174B81" w:rsidRPr="00136E84">
        <w:rPr>
          <w:sz w:val="24"/>
          <w:szCs w:val="24"/>
        </w:rPr>
        <w:t>0</w:t>
      </w:r>
      <w:r w:rsidRPr="00136E84">
        <w:rPr>
          <w:sz w:val="24"/>
          <w:szCs w:val="24"/>
        </w:rPr>
        <w:t>0</w:t>
      </w:r>
      <w:r w:rsidR="007A6418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rileva</w:t>
      </w:r>
      <w:r w:rsidR="00594053" w:rsidRPr="00136E84">
        <w:rPr>
          <w:sz w:val="24"/>
          <w:szCs w:val="24"/>
        </w:rPr>
        <w:t xml:space="preserve"> </w:t>
      </w:r>
      <w:r w:rsidR="002D53D8" w:rsidRPr="00136E84">
        <w:rPr>
          <w:sz w:val="24"/>
          <w:szCs w:val="24"/>
        </w:rPr>
        <w:t xml:space="preserve">un </w:t>
      </w:r>
      <w:r w:rsidR="008A10E8" w:rsidRPr="00136E84">
        <w:rPr>
          <w:sz w:val="24"/>
          <w:szCs w:val="24"/>
        </w:rPr>
        <w:t xml:space="preserve"> miglioramento</w:t>
      </w:r>
      <w:r w:rsidR="002D53D8" w:rsidRPr="00136E84">
        <w:rPr>
          <w:sz w:val="24"/>
          <w:szCs w:val="24"/>
        </w:rPr>
        <w:t xml:space="preserve"> rispetto </w:t>
      </w:r>
      <w:r w:rsidR="008A10E8" w:rsidRPr="00136E84">
        <w:rPr>
          <w:sz w:val="24"/>
          <w:szCs w:val="24"/>
        </w:rPr>
        <w:t>l'ultimo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esercizi</w:t>
      </w:r>
      <w:r w:rsidR="008A10E8" w:rsidRPr="00136E84">
        <w:rPr>
          <w:sz w:val="24"/>
          <w:szCs w:val="24"/>
        </w:rPr>
        <w:t>o</w:t>
      </w:r>
      <w:r w:rsidRPr="00136E84">
        <w:rPr>
          <w:sz w:val="24"/>
          <w:szCs w:val="24"/>
        </w:rPr>
        <w:t>;</w:t>
      </w:r>
    </w:p>
    <w:p w:rsidR="00144B62" w:rsidRPr="00136E84" w:rsidRDefault="00144B62" w:rsidP="00594053">
      <w:pPr>
        <w:numPr>
          <w:ilvl w:val="0"/>
          <w:numId w:val="4"/>
        </w:numPr>
        <w:jc w:val="both"/>
        <w:rPr>
          <w:sz w:val="24"/>
          <w:szCs w:val="24"/>
        </w:rPr>
      </w:pPr>
      <w:r w:rsidRPr="00136E84">
        <w:rPr>
          <w:sz w:val="24"/>
          <w:szCs w:val="24"/>
        </w:rPr>
        <w:t>raccomanda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che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vengano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osservate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prudenziali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regole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contabili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e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procedurali,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che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se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del</w:t>
      </w:r>
      <w:r w:rsidR="00594053" w:rsidRPr="00136E84">
        <w:rPr>
          <w:sz w:val="24"/>
          <w:szCs w:val="24"/>
        </w:rPr>
        <w:t xml:space="preserve">  </w:t>
      </w:r>
      <w:r w:rsidRPr="00136E84">
        <w:rPr>
          <w:sz w:val="24"/>
          <w:szCs w:val="24"/>
        </w:rPr>
        <w:t>caso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andrebbero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introdotte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al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fine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di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garantire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il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vincolo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di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correlazione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tra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ricavi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e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costi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nel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senso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di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disporre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che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determinate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spese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possano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essere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sostenute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solo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dopo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avere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accertato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il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riconoscimento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dei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correlativi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ricavi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che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ne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costituiscono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il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presupposto;</w:t>
      </w:r>
      <w:r w:rsidR="00594053" w:rsidRPr="00136E84">
        <w:rPr>
          <w:sz w:val="24"/>
          <w:szCs w:val="24"/>
        </w:rPr>
        <w:t xml:space="preserve"> </w:t>
      </w:r>
    </w:p>
    <w:p w:rsidR="00CD3F5B" w:rsidRPr="00136E84" w:rsidRDefault="00CD3F5B" w:rsidP="003C3782">
      <w:pPr>
        <w:jc w:val="both"/>
        <w:rPr>
          <w:sz w:val="24"/>
          <w:szCs w:val="24"/>
        </w:rPr>
      </w:pPr>
    </w:p>
    <w:p w:rsidR="0018181B" w:rsidRPr="00136E84" w:rsidRDefault="0018181B" w:rsidP="00144B62">
      <w:pPr>
        <w:ind w:firstLine="360"/>
        <w:jc w:val="both"/>
        <w:rPr>
          <w:sz w:val="24"/>
          <w:szCs w:val="24"/>
        </w:rPr>
      </w:pPr>
    </w:p>
    <w:p w:rsidR="00677964" w:rsidRPr="00136E84" w:rsidRDefault="00144B62" w:rsidP="007A6418">
      <w:pPr>
        <w:ind w:firstLine="360"/>
        <w:jc w:val="both"/>
        <w:rPr>
          <w:sz w:val="24"/>
          <w:szCs w:val="24"/>
        </w:rPr>
      </w:pPr>
      <w:r w:rsidRPr="00136E84">
        <w:rPr>
          <w:sz w:val="24"/>
          <w:szCs w:val="24"/>
        </w:rPr>
        <w:t>Tutto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ciò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premesso,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il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Collegio</w:t>
      </w:r>
      <w:r w:rsidR="009D5427" w:rsidRPr="00136E84">
        <w:rPr>
          <w:sz w:val="24"/>
          <w:szCs w:val="24"/>
        </w:rPr>
        <w:t xml:space="preserve"> esprime l’avviso che il budget rispetti i criteri posti dal Regolamento per la sua predisposizione secondo ordinate regole contabili e con l’adozione di stime effettuate con modalità tali da soddisfare l’attendibilità dei ricavi e proventi e la congruità dei costi ed oneri preventivati.</w:t>
      </w:r>
    </w:p>
    <w:p w:rsidR="009D5427" w:rsidRPr="00136E84" w:rsidRDefault="009D5427" w:rsidP="007A6418">
      <w:pPr>
        <w:ind w:firstLine="360"/>
        <w:jc w:val="both"/>
        <w:rPr>
          <w:sz w:val="24"/>
          <w:szCs w:val="24"/>
        </w:rPr>
      </w:pPr>
    </w:p>
    <w:p w:rsidR="009D5427" w:rsidRPr="00136E84" w:rsidRDefault="009D5427" w:rsidP="009D5427">
      <w:pPr>
        <w:ind w:firstLine="360"/>
        <w:jc w:val="center"/>
        <w:rPr>
          <w:sz w:val="24"/>
          <w:szCs w:val="24"/>
        </w:rPr>
      </w:pPr>
      <w:r w:rsidRPr="00136E84">
        <w:rPr>
          <w:sz w:val="24"/>
          <w:szCs w:val="24"/>
        </w:rPr>
        <w:t>*   *   *</w:t>
      </w:r>
    </w:p>
    <w:p w:rsidR="009D5427" w:rsidRPr="00136E84" w:rsidRDefault="009D5427" w:rsidP="009D5427">
      <w:pPr>
        <w:ind w:firstLine="360"/>
        <w:jc w:val="center"/>
        <w:rPr>
          <w:sz w:val="24"/>
          <w:szCs w:val="24"/>
        </w:rPr>
      </w:pPr>
    </w:p>
    <w:p w:rsidR="009D5427" w:rsidRPr="00136E84" w:rsidRDefault="009D5427" w:rsidP="00963581">
      <w:pPr>
        <w:ind w:firstLine="360"/>
        <w:jc w:val="both"/>
        <w:rPr>
          <w:sz w:val="24"/>
          <w:szCs w:val="24"/>
        </w:rPr>
      </w:pPr>
      <w:r w:rsidRPr="00136E84">
        <w:rPr>
          <w:sz w:val="24"/>
          <w:szCs w:val="24"/>
        </w:rPr>
        <w:t>Con le considerazioni, i suggerimenti e le raccomandazioni sopra esposti, esprime, ai sensi dell’art.8 del Regolamento, parere favorevole all’approvazione del Budget annuale 201</w:t>
      </w:r>
      <w:r w:rsidR="00B63C45">
        <w:rPr>
          <w:sz w:val="24"/>
          <w:szCs w:val="24"/>
        </w:rPr>
        <w:t>9</w:t>
      </w:r>
      <w:r w:rsidRPr="00136E84">
        <w:rPr>
          <w:sz w:val="24"/>
          <w:szCs w:val="24"/>
        </w:rPr>
        <w:t>.</w:t>
      </w:r>
    </w:p>
    <w:p w:rsidR="001124D4" w:rsidRPr="00136E84" w:rsidRDefault="001124D4" w:rsidP="001124D4">
      <w:pPr>
        <w:ind w:firstLine="360"/>
        <w:rPr>
          <w:sz w:val="24"/>
          <w:szCs w:val="24"/>
        </w:rPr>
      </w:pPr>
    </w:p>
    <w:p w:rsidR="001124D4" w:rsidRPr="00136E84" w:rsidRDefault="001124D4" w:rsidP="001124D4">
      <w:pPr>
        <w:ind w:firstLine="360"/>
        <w:rPr>
          <w:sz w:val="24"/>
          <w:szCs w:val="24"/>
        </w:rPr>
      </w:pPr>
    </w:p>
    <w:p w:rsidR="003201F2" w:rsidRPr="00136E84" w:rsidRDefault="003201F2" w:rsidP="001124D4">
      <w:pPr>
        <w:ind w:firstLine="360"/>
        <w:rPr>
          <w:sz w:val="24"/>
          <w:szCs w:val="24"/>
        </w:rPr>
      </w:pPr>
    </w:p>
    <w:p w:rsidR="001124D4" w:rsidRPr="00136E84" w:rsidRDefault="001124D4" w:rsidP="001124D4">
      <w:pPr>
        <w:rPr>
          <w:sz w:val="24"/>
          <w:szCs w:val="24"/>
        </w:rPr>
      </w:pPr>
      <w:r w:rsidRPr="00136E84">
        <w:rPr>
          <w:sz w:val="24"/>
          <w:szCs w:val="24"/>
        </w:rPr>
        <w:t>Mantova,</w:t>
      </w:r>
      <w:r w:rsidR="006060F2" w:rsidRPr="00136E84">
        <w:rPr>
          <w:sz w:val="24"/>
          <w:szCs w:val="24"/>
        </w:rPr>
        <w:t xml:space="preserve"> </w:t>
      </w:r>
      <w:r w:rsidR="00B63C45">
        <w:rPr>
          <w:sz w:val="24"/>
          <w:szCs w:val="24"/>
        </w:rPr>
        <w:t>19</w:t>
      </w:r>
      <w:r w:rsidR="003135D2" w:rsidRPr="00136E84">
        <w:rPr>
          <w:sz w:val="24"/>
          <w:szCs w:val="24"/>
        </w:rPr>
        <w:t xml:space="preserve"> </w:t>
      </w:r>
      <w:r w:rsidR="009D5427" w:rsidRPr="00136E84">
        <w:rPr>
          <w:sz w:val="24"/>
          <w:szCs w:val="24"/>
        </w:rPr>
        <w:t>Ottobre</w:t>
      </w:r>
      <w:r w:rsidR="00594053" w:rsidRPr="00136E84">
        <w:rPr>
          <w:sz w:val="24"/>
          <w:szCs w:val="24"/>
        </w:rPr>
        <w:t xml:space="preserve"> </w:t>
      </w:r>
      <w:r w:rsidR="009D3ACB" w:rsidRPr="00136E84">
        <w:rPr>
          <w:sz w:val="24"/>
          <w:szCs w:val="24"/>
        </w:rPr>
        <w:t>201</w:t>
      </w:r>
      <w:r w:rsidR="00B63C45">
        <w:rPr>
          <w:sz w:val="24"/>
          <w:szCs w:val="24"/>
        </w:rPr>
        <w:t>8</w:t>
      </w:r>
    </w:p>
    <w:p w:rsidR="001124D4" w:rsidRPr="00136E84" w:rsidRDefault="001124D4" w:rsidP="001124D4">
      <w:pPr>
        <w:rPr>
          <w:sz w:val="24"/>
          <w:szCs w:val="24"/>
        </w:rPr>
      </w:pPr>
    </w:p>
    <w:p w:rsidR="003201F2" w:rsidRPr="00136E84" w:rsidRDefault="003201F2" w:rsidP="001124D4">
      <w:pPr>
        <w:rPr>
          <w:sz w:val="24"/>
          <w:szCs w:val="24"/>
        </w:rPr>
      </w:pPr>
    </w:p>
    <w:p w:rsidR="001124D4" w:rsidRPr="00136E84" w:rsidRDefault="001124D4" w:rsidP="001124D4">
      <w:pPr>
        <w:rPr>
          <w:sz w:val="24"/>
          <w:szCs w:val="24"/>
        </w:rPr>
      </w:pPr>
      <w:r w:rsidRPr="00136E84">
        <w:rPr>
          <w:sz w:val="24"/>
          <w:szCs w:val="24"/>
        </w:rPr>
        <w:tab/>
      </w:r>
      <w:r w:rsidRPr="00136E84">
        <w:rPr>
          <w:sz w:val="24"/>
          <w:szCs w:val="24"/>
        </w:rPr>
        <w:tab/>
      </w:r>
      <w:r w:rsidRPr="00136E84">
        <w:rPr>
          <w:sz w:val="24"/>
          <w:szCs w:val="24"/>
        </w:rPr>
        <w:tab/>
      </w:r>
      <w:r w:rsidRPr="00136E84">
        <w:rPr>
          <w:sz w:val="24"/>
          <w:szCs w:val="24"/>
        </w:rPr>
        <w:tab/>
      </w:r>
      <w:r w:rsidRPr="00136E84">
        <w:rPr>
          <w:sz w:val="24"/>
          <w:szCs w:val="24"/>
        </w:rPr>
        <w:tab/>
      </w:r>
      <w:r w:rsidRPr="00136E84">
        <w:rPr>
          <w:sz w:val="24"/>
          <w:szCs w:val="24"/>
        </w:rPr>
        <w:tab/>
      </w:r>
      <w:r w:rsidRPr="00136E84">
        <w:rPr>
          <w:sz w:val="24"/>
          <w:szCs w:val="24"/>
        </w:rPr>
        <w:tab/>
        <w:t>Il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Collegio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dei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Revisori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dei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Conti</w:t>
      </w:r>
    </w:p>
    <w:p w:rsidR="001124D4" w:rsidRPr="00136E84" w:rsidRDefault="001124D4" w:rsidP="001124D4">
      <w:pPr>
        <w:rPr>
          <w:sz w:val="24"/>
          <w:szCs w:val="24"/>
        </w:rPr>
      </w:pPr>
    </w:p>
    <w:p w:rsidR="004151F6" w:rsidRPr="00136E84" w:rsidRDefault="004151F6" w:rsidP="004151F6">
      <w:pPr>
        <w:spacing w:line="480" w:lineRule="auto"/>
        <w:rPr>
          <w:sz w:val="24"/>
          <w:szCs w:val="24"/>
        </w:rPr>
      </w:pPr>
      <w:r w:rsidRPr="00136E84">
        <w:rPr>
          <w:sz w:val="24"/>
          <w:szCs w:val="24"/>
        </w:rPr>
        <w:tab/>
      </w:r>
      <w:r w:rsidRPr="00136E84">
        <w:rPr>
          <w:sz w:val="24"/>
          <w:szCs w:val="24"/>
        </w:rPr>
        <w:tab/>
      </w:r>
      <w:r w:rsidRPr="00136E84">
        <w:rPr>
          <w:sz w:val="24"/>
          <w:szCs w:val="24"/>
        </w:rPr>
        <w:tab/>
      </w:r>
      <w:r w:rsidRPr="00136E84">
        <w:rPr>
          <w:sz w:val="24"/>
          <w:szCs w:val="24"/>
        </w:rPr>
        <w:tab/>
      </w:r>
      <w:r w:rsidRPr="00136E84">
        <w:rPr>
          <w:sz w:val="24"/>
          <w:szCs w:val="24"/>
        </w:rPr>
        <w:tab/>
      </w:r>
      <w:r w:rsidRPr="00136E84">
        <w:rPr>
          <w:sz w:val="24"/>
          <w:szCs w:val="24"/>
        </w:rPr>
        <w:tab/>
        <w:t>Dott.</w:t>
      </w:r>
      <w:r w:rsidR="00594053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Giorgio</w:t>
      </w:r>
      <w:r w:rsidR="00594053" w:rsidRPr="00136E84">
        <w:rPr>
          <w:sz w:val="24"/>
          <w:szCs w:val="24"/>
        </w:rPr>
        <w:t xml:space="preserve"> </w:t>
      </w:r>
      <w:proofErr w:type="spellStart"/>
      <w:r w:rsidRPr="00136E84">
        <w:rPr>
          <w:sz w:val="24"/>
          <w:szCs w:val="24"/>
        </w:rPr>
        <w:t>Menani</w:t>
      </w:r>
      <w:proofErr w:type="spellEnd"/>
      <w:r w:rsidR="00594053" w:rsidRPr="00136E84">
        <w:rPr>
          <w:sz w:val="24"/>
          <w:szCs w:val="24"/>
        </w:rPr>
        <w:t xml:space="preserve"> </w:t>
      </w:r>
      <w:r w:rsidR="00B42140" w:rsidRPr="00136E84">
        <w:rPr>
          <w:sz w:val="24"/>
          <w:szCs w:val="24"/>
        </w:rPr>
        <w:t xml:space="preserve">         </w:t>
      </w:r>
      <w:r w:rsidRPr="00136E84">
        <w:rPr>
          <w:sz w:val="24"/>
          <w:szCs w:val="24"/>
        </w:rPr>
        <w:t>___________________</w:t>
      </w:r>
    </w:p>
    <w:p w:rsidR="004151F6" w:rsidRPr="00136E84" w:rsidRDefault="004151F6" w:rsidP="004151F6">
      <w:pPr>
        <w:spacing w:line="480" w:lineRule="auto"/>
        <w:rPr>
          <w:sz w:val="24"/>
          <w:szCs w:val="24"/>
        </w:rPr>
      </w:pPr>
      <w:r w:rsidRPr="00136E84">
        <w:rPr>
          <w:sz w:val="24"/>
          <w:szCs w:val="24"/>
        </w:rPr>
        <w:tab/>
      </w:r>
      <w:r w:rsidRPr="00136E84">
        <w:rPr>
          <w:sz w:val="24"/>
          <w:szCs w:val="24"/>
        </w:rPr>
        <w:tab/>
      </w:r>
      <w:r w:rsidRPr="00136E84">
        <w:rPr>
          <w:sz w:val="24"/>
          <w:szCs w:val="24"/>
        </w:rPr>
        <w:tab/>
      </w:r>
      <w:r w:rsidRPr="00136E84">
        <w:rPr>
          <w:sz w:val="24"/>
          <w:szCs w:val="24"/>
        </w:rPr>
        <w:tab/>
      </w:r>
      <w:r w:rsidRPr="00136E84">
        <w:rPr>
          <w:sz w:val="24"/>
          <w:szCs w:val="24"/>
        </w:rPr>
        <w:tab/>
      </w:r>
      <w:r w:rsidRPr="00136E84">
        <w:rPr>
          <w:sz w:val="24"/>
          <w:szCs w:val="24"/>
        </w:rPr>
        <w:tab/>
      </w:r>
      <w:proofErr w:type="spellStart"/>
      <w:r w:rsidR="006F60CE" w:rsidRPr="00136E84">
        <w:rPr>
          <w:sz w:val="24"/>
          <w:szCs w:val="24"/>
        </w:rPr>
        <w:t>SIgn.ra</w:t>
      </w:r>
      <w:proofErr w:type="spellEnd"/>
      <w:r w:rsidR="006F60CE" w:rsidRPr="00136E84">
        <w:rPr>
          <w:sz w:val="24"/>
          <w:szCs w:val="24"/>
        </w:rPr>
        <w:t xml:space="preserve"> Ivana Paola </w:t>
      </w:r>
      <w:proofErr w:type="spellStart"/>
      <w:r w:rsidR="006F60CE" w:rsidRPr="00136E84">
        <w:rPr>
          <w:sz w:val="24"/>
          <w:szCs w:val="24"/>
        </w:rPr>
        <w:t>Barozzi</w:t>
      </w:r>
      <w:proofErr w:type="spellEnd"/>
      <w:r w:rsidR="00B42140" w:rsidRPr="00136E84">
        <w:rPr>
          <w:sz w:val="24"/>
          <w:szCs w:val="24"/>
        </w:rPr>
        <w:t xml:space="preserve"> </w:t>
      </w:r>
      <w:r w:rsidRPr="00136E84">
        <w:rPr>
          <w:sz w:val="24"/>
          <w:szCs w:val="24"/>
        </w:rPr>
        <w:t>___________________</w:t>
      </w:r>
    </w:p>
    <w:p w:rsidR="001124D4" w:rsidRDefault="0018181B" w:rsidP="0018181B">
      <w:pPr>
        <w:ind w:left="3540" w:firstLine="708"/>
        <w:rPr>
          <w:sz w:val="24"/>
          <w:szCs w:val="24"/>
        </w:rPr>
      </w:pPr>
      <w:r w:rsidRPr="00136E84">
        <w:rPr>
          <w:sz w:val="24"/>
          <w:szCs w:val="24"/>
        </w:rPr>
        <w:t>Dott. Andrea Polacco           ___________________</w:t>
      </w:r>
    </w:p>
    <w:p w:rsidR="00B44689" w:rsidRPr="00A44221" w:rsidRDefault="00B44689" w:rsidP="009B0753">
      <w:pPr>
        <w:tabs>
          <w:tab w:val="left" w:pos="1125"/>
        </w:tabs>
        <w:rPr>
          <w:sz w:val="24"/>
          <w:szCs w:val="24"/>
        </w:rPr>
      </w:pPr>
    </w:p>
    <w:sectPr w:rsidR="00B44689" w:rsidRPr="00A44221" w:rsidSect="001154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A36" w:rsidRDefault="00D67A36">
      <w:r>
        <w:separator/>
      </w:r>
    </w:p>
  </w:endnote>
  <w:endnote w:type="continuationSeparator" w:id="1">
    <w:p w:rsidR="00D67A36" w:rsidRDefault="00D67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0CE" w:rsidRDefault="00B30F8B" w:rsidP="006B28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F60C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F60CE" w:rsidRDefault="006F60CE" w:rsidP="00D3297A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0CE" w:rsidRDefault="00B30F8B" w:rsidP="006B28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F60C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64435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6F60CE" w:rsidRPr="00230B91" w:rsidRDefault="00230B91" w:rsidP="00D3297A">
    <w:pPr>
      <w:pStyle w:val="Pidipagina"/>
      <w:ind w:right="360"/>
      <w:rPr>
        <w:sz w:val="18"/>
        <w:szCs w:val="18"/>
      </w:rPr>
    </w:pPr>
    <w:r>
      <w:rPr>
        <w:sz w:val="18"/>
        <w:szCs w:val="18"/>
      </w:rPr>
      <w:t xml:space="preserve">AC Mantova - Relazione </w:t>
    </w:r>
    <w:r w:rsidR="00032B1F">
      <w:rPr>
        <w:sz w:val="18"/>
        <w:szCs w:val="18"/>
      </w:rPr>
      <w:t xml:space="preserve">dei </w:t>
    </w:r>
    <w:r>
      <w:rPr>
        <w:sz w:val="18"/>
        <w:szCs w:val="18"/>
      </w:rPr>
      <w:t xml:space="preserve">Revisori </w:t>
    </w:r>
    <w:r w:rsidR="00032B1F">
      <w:rPr>
        <w:sz w:val="18"/>
        <w:szCs w:val="18"/>
      </w:rPr>
      <w:t xml:space="preserve">al </w:t>
    </w:r>
    <w:r>
      <w:rPr>
        <w:sz w:val="18"/>
        <w:szCs w:val="18"/>
      </w:rPr>
      <w:t xml:space="preserve">Budget </w:t>
    </w:r>
    <w:r w:rsidR="00032B1F">
      <w:rPr>
        <w:sz w:val="18"/>
        <w:szCs w:val="18"/>
      </w:rPr>
      <w:t>annuale</w:t>
    </w:r>
    <w:r w:rsidR="002D51AD">
      <w:rPr>
        <w:sz w:val="18"/>
        <w:szCs w:val="18"/>
      </w:rPr>
      <w:t xml:space="preserve"> 201</w:t>
    </w:r>
    <w:r w:rsidR="00D672CF">
      <w:rPr>
        <w:sz w:val="18"/>
        <w:szCs w:val="18"/>
      </w:rPr>
      <w:t>9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2CF" w:rsidRDefault="00D672C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A36" w:rsidRDefault="00D67A36">
      <w:r>
        <w:separator/>
      </w:r>
    </w:p>
  </w:footnote>
  <w:footnote w:type="continuationSeparator" w:id="1">
    <w:p w:rsidR="00D67A36" w:rsidRDefault="00D67A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2CF" w:rsidRDefault="00D672CF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2CF" w:rsidRDefault="00D672CF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2CF" w:rsidRDefault="00D672C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43754"/>
    <w:multiLevelType w:val="hybridMultilevel"/>
    <w:tmpl w:val="A5005BE2"/>
    <w:lvl w:ilvl="0" w:tplc="0410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">
    <w:nsid w:val="2F34108C"/>
    <w:multiLevelType w:val="hybridMultilevel"/>
    <w:tmpl w:val="7AAA606A"/>
    <w:lvl w:ilvl="0" w:tplc="881AE630">
      <w:start w:val="20"/>
      <w:numFmt w:val="bullet"/>
      <w:lvlText w:val="-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3C2A72"/>
    <w:multiLevelType w:val="hybridMultilevel"/>
    <w:tmpl w:val="37BE0254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8E35D4F"/>
    <w:multiLevelType w:val="hybridMultilevel"/>
    <w:tmpl w:val="C744F668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3F01"/>
  <w:defaultTabStop w:val="708"/>
  <w:hyphenationZone w:val="283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A44221"/>
    <w:rsid w:val="000015F4"/>
    <w:rsid w:val="0000671C"/>
    <w:rsid w:val="000127E9"/>
    <w:rsid w:val="000132BA"/>
    <w:rsid w:val="00020587"/>
    <w:rsid w:val="00022DA7"/>
    <w:rsid w:val="00023F90"/>
    <w:rsid w:val="000271A0"/>
    <w:rsid w:val="00030FB4"/>
    <w:rsid w:val="00032B1F"/>
    <w:rsid w:val="00041D52"/>
    <w:rsid w:val="00054FA0"/>
    <w:rsid w:val="000619F5"/>
    <w:rsid w:val="00064E0D"/>
    <w:rsid w:val="00066C16"/>
    <w:rsid w:val="000829AB"/>
    <w:rsid w:val="00083EEF"/>
    <w:rsid w:val="000C62C2"/>
    <w:rsid w:val="000D1DC0"/>
    <w:rsid w:val="000D52EB"/>
    <w:rsid w:val="000D7BE8"/>
    <w:rsid w:val="000E7220"/>
    <w:rsid w:val="001124D4"/>
    <w:rsid w:val="0011542F"/>
    <w:rsid w:val="00120FFE"/>
    <w:rsid w:val="00122427"/>
    <w:rsid w:val="00125C94"/>
    <w:rsid w:val="001267FC"/>
    <w:rsid w:val="00126BDF"/>
    <w:rsid w:val="0013283E"/>
    <w:rsid w:val="00133CEE"/>
    <w:rsid w:val="00136E84"/>
    <w:rsid w:val="00144B62"/>
    <w:rsid w:val="00144EFE"/>
    <w:rsid w:val="00151F42"/>
    <w:rsid w:val="001703D9"/>
    <w:rsid w:val="00174B81"/>
    <w:rsid w:val="00180616"/>
    <w:rsid w:val="0018181B"/>
    <w:rsid w:val="00182E25"/>
    <w:rsid w:val="00185844"/>
    <w:rsid w:val="00192207"/>
    <w:rsid w:val="00197523"/>
    <w:rsid w:val="001B5AE6"/>
    <w:rsid w:val="001B660F"/>
    <w:rsid w:val="001B6809"/>
    <w:rsid w:val="001C38F9"/>
    <w:rsid w:val="001C3AF0"/>
    <w:rsid w:val="001C6061"/>
    <w:rsid w:val="001D4E25"/>
    <w:rsid w:val="001D4E42"/>
    <w:rsid w:val="001E1D3E"/>
    <w:rsid w:val="00220DF7"/>
    <w:rsid w:val="0022637B"/>
    <w:rsid w:val="00230B91"/>
    <w:rsid w:val="00264435"/>
    <w:rsid w:val="00272B89"/>
    <w:rsid w:val="0027398D"/>
    <w:rsid w:val="00277E4A"/>
    <w:rsid w:val="00281540"/>
    <w:rsid w:val="00292F83"/>
    <w:rsid w:val="002931D6"/>
    <w:rsid w:val="002A17D4"/>
    <w:rsid w:val="002A246E"/>
    <w:rsid w:val="002A5A15"/>
    <w:rsid w:val="002A6B39"/>
    <w:rsid w:val="002A7D13"/>
    <w:rsid w:val="002B0702"/>
    <w:rsid w:val="002B7A76"/>
    <w:rsid w:val="002C0242"/>
    <w:rsid w:val="002D51AD"/>
    <w:rsid w:val="002D53D8"/>
    <w:rsid w:val="002D7989"/>
    <w:rsid w:val="002E2A94"/>
    <w:rsid w:val="002E2E59"/>
    <w:rsid w:val="002E419C"/>
    <w:rsid w:val="002F18EC"/>
    <w:rsid w:val="002F3374"/>
    <w:rsid w:val="00303C78"/>
    <w:rsid w:val="003135D2"/>
    <w:rsid w:val="0031451F"/>
    <w:rsid w:val="0031685C"/>
    <w:rsid w:val="003201F2"/>
    <w:rsid w:val="00330E1A"/>
    <w:rsid w:val="00331764"/>
    <w:rsid w:val="003351A3"/>
    <w:rsid w:val="003365F6"/>
    <w:rsid w:val="00342E27"/>
    <w:rsid w:val="00355A19"/>
    <w:rsid w:val="003654CF"/>
    <w:rsid w:val="00366FEF"/>
    <w:rsid w:val="00371C67"/>
    <w:rsid w:val="00372735"/>
    <w:rsid w:val="00380409"/>
    <w:rsid w:val="00385096"/>
    <w:rsid w:val="003B6ABA"/>
    <w:rsid w:val="003C3782"/>
    <w:rsid w:val="003C6E94"/>
    <w:rsid w:val="003D0596"/>
    <w:rsid w:val="003D285B"/>
    <w:rsid w:val="003E1CCB"/>
    <w:rsid w:val="003E20FD"/>
    <w:rsid w:val="003E7DF7"/>
    <w:rsid w:val="00410442"/>
    <w:rsid w:val="004151F6"/>
    <w:rsid w:val="00432A96"/>
    <w:rsid w:val="00446589"/>
    <w:rsid w:val="00446642"/>
    <w:rsid w:val="004621F0"/>
    <w:rsid w:val="00464CBD"/>
    <w:rsid w:val="00467276"/>
    <w:rsid w:val="004772DE"/>
    <w:rsid w:val="00483DF0"/>
    <w:rsid w:val="004847A7"/>
    <w:rsid w:val="00484D3E"/>
    <w:rsid w:val="00495C4E"/>
    <w:rsid w:val="004A2DB1"/>
    <w:rsid w:val="004C3C5C"/>
    <w:rsid w:val="004C687F"/>
    <w:rsid w:val="004D1350"/>
    <w:rsid w:val="004F2BED"/>
    <w:rsid w:val="004F608F"/>
    <w:rsid w:val="004F74C0"/>
    <w:rsid w:val="00500220"/>
    <w:rsid w:val="00516665"/>
    <w:rsid w:val="005173C1"/>
    <w:rsid w:val="005233A4"/>
    <w:rsid w:val="005332F0"/>
    <w:rsid w:val="005423C6"/>
    <w:rsid w:val="005467F1"/>
    <w:rsid w:val="00552BAA"/>
    <w:rsid w:val="00552E9F"/>
    <w:rsid w:val="00572753"/>
    <w:rsid w:val="005767E3"/>
    <w:rsid w:val="00576B2A"/>
    <w:rsid w:val="00585083"/>
    <w:rsid w:val="00594053"/>
    <w:rsid w:val="005B26BA"/>
    <w:rsid w:val="005C449D"/>
    <w:rsid w:val="005D6027"/>
    <w:rsid w:val="005D6385"/>
    <w:rsid w:val="005F08D6"/>
    <w:rsid w:val="005F3E07"/>
    <w:rsid w:val="006060F2"/>
    <w:rsid w:val="0061042A"/>
    <w:rsid w:val="00622D28"/>
    <w:rsid w:val="00624996"/>
    <w:rsid w:val="00630C71"/>
    <w:rsid w:val="006341E9"/>
    <w:rsid w:val="006351A6"/>
    <w:rsid w:val="00640451"/>
    <w:rsid w:val="006463BE"/>
    <w:rsid w:val="00655AB7"/>
    <w:rsid w:val="00666303"/>
    <w:rsid w:val="00677964"/>
    <w:rsid w:val="00682EAE"/>
    <w:rsid w:val="00690EAE"/>
    <w:rsid w:val="0069362B"/>
    <w:rsid w:val="006973E2"/>
    <w:rsid w:val="006A2885"/>
    <w:rsid w:val="006B28EC"/>
    <w:rsid w:val="006C3F66"/>
    <w:rsid w:val="006D0EBA"/>
    <w:rsid w:val="006D2768"/>
    <w:rsid w:val="006F1288"/>
    <w:rsid w:val="006F5C52"/>
    <w:rsid w:val="006F60CE"/>
    <w:rsid w:val="00707450"/>
    <w:rsid w:val="00712F4C"/>
    <w:rsid w:val="00720B98"/>
    <w:rsid w:val="00721D14"/>
    <w:rsid w:val="00722204"/>
    <w:rsid w:val="0072267F"/>
    <w:rsid w:val="00725595"/>
    <w:rsid w:val="007259BB"/>
    <w:rsid w:val="00727F15"/>
    <w:rsid w:val="00731C44"/>
    <w:rsid w:val="00731EB3"/>
    <w:rsid w:val="007322A8"/>
    <w:rsid w:val="00770269"/>
    <w:rsid w:val="00792912"/>
    <w:rsid w:val="007A122F"/>
    <w:rsid w:val="007A2670"/>
    <w:rsid w:val="007A6418"/>
    <w:rsid w:val="007A6D1C"/>
    <w:rsid w:val="007C720C"/>
    <w:rsid w:val="007D1340"/>
    <w:rsid w:val="007D3D89"/>
    <w:rsid w:val="007D5286"/>
    <w:rsid w:val="007E539C"/>
    <w:rsid w:val="007F3E43"/>
    <w:rsid w:val="007F4663"/>
    <w:rsid w:val="008347FB"/>
    <w:rsid w:val="00845984"/>
    <w:rsid w:val="00855E6E"/>
    <w:rsid w:val="0085770D"/>
    <w:rsid w:val="00862280"/>
    <w:rsid w:val="008625C9"/>
    <w:rsid w:val="008659FE"/>
    <w:rsid w:val="008702BF"/>
    <w:rsid w:val="00885C0D"/>
    <w:rsid w:val="008A10E8"/>
    <w:rsid w:val="008A34FE"/>
    <w:rsid w:val="008A6C18"/>
    <w:rsid w:val="008C4684"/>
    <w:rsid w:val="008C7F14"/>
    <w:rsid w:val="008D05CE"/>
    <w:rsid w:val="008E703A"/>
    <w:rsid w:val="008F571D"/>
    <w:rsid w:val="008F58C7"/>
    <w:rsid w:val="009115DC"/>
    <w:rsid w:val="0092189E"/>
    <w:rsid w:val="00922E2D"/>
    <w:rsid w:val="009278A4"/>
    <w:rsid w:val="0093461C"/>
    <w:rsid w:val="00946B2C"/>
    <w:rsid w:val="00963581"/>
    <w:rsid w:val="009A7BD0"/>
    <w:rsid w:val="009B0753"/>
    <w:rsid w:val="009B4E12"/>
    <w:rsid w:val="009C369F"/>
    <w:rsid w:val="009D3ACB"/>
    <w:rsid w:val="009D5427"/>
    <w:rsid w:val="009E0508"/>
    <w:rsid w:val="009F75AB"/>
    <w:rsid w:val="00A246D5"/>
    <w:rsid w:val="00A44221"/>
    <w:rsid w:val="00A44D82"/>
    <w:rsid w:val="00A85643"/>
    <w:rsid w:val="00AA2E3E"/>
    <w:rsid w:val="00AB738A"/>
    <w:rsid w:val="00AB76D5"/>
    <w:rsid w:val="00AB7965"/>
    <w:rsid w:val="00AC58C8"/>
    <w:rsid w:val="00AD6A02"/>
    <w:rsid w:val="00AD79A0"/>
    <w:rsid w:val="00AE0739"/>
    <w:rsid w:val="00AE6BA8"/>
    <w:rsid w:val="00B02A6D"/>
    <w:rsid w:val="00B20CD0"/>
    <w:rsid w:val="00B2322C"/>
    <w:rsid w:val="00B30F8B"/>
    <w:rsid w:val="00B30FA6"/>
    <w:rsid w:val="00B33366"/>
    <w:rsid w:val="00B42140"/>
    <w:rsid w:val="00B44689"/>
    <w:rsid w:val="00B51E31"/>
    <w:rsid w:val="00B6165C"/>
    <w:rsid w:val="00B63C45"/>
    <w:rsid w:val="00B7751C"/>
    <w:rsid w:val="00B80216"/>
    <w:rsid w:val="00BA0C22"/>
    <w:rsid w:val="00BA4155"/>
    <w:rsid w:val="00BA4257"/>
    <w:rsid w:val="00BB2103"/>
    <w:rsid w:val="00BC29CF"/>
    <w:rsid w:val="00BC2D9D"/>
    <w:rsid w:val="00BC32F1"/>
    <w:rsid w:val="00BC50D4"/>
    <w:rsid w:val="00BD5861"/>
    <w:rsid w:val="00BF1B01"/>
    <w:rsid w:val="00BF24BB"/>
    <w:rsid w:val="00C070F3"/>
    <w:rsid w:val="00C1460A"/>
    <w:rsid w:val="00C15B1D"/>
    <w:rsid w:val="00C262EB"/>
    <w:rsid w:val="00C31D93"/>
    <w:rsid w:val="00C33CD6"/>
    <w:rsid w:val="00C41168"/>
    <w:rsid w:val="00C47587"/>
    <w:rsid w:val="00C57307"/>
    <w:rsid w:val="00C83D56"/>
    <w:rsid w:val="00C85DBF"/>
    <w:rsid w:val="00CA4658"/>
    <w:rsid w:val="00CB051D"/>
    <w:rsid w:val="00CB5D3C"/>
    <w:rsid w:val="00CC5786"/>
    <w:rsid w:val="00CD2011"/>
    <w:rsid w:val="00CD3F5B"/>
    <w:rsid w:val="00D253F0"/>
    <w:rsid w:val="00D27D53"/>
    <w:rsid w:val="00D3297A"/>
    <w:rsid w:val="00D3364B"/>
    <w:rsid w:val="00D50F0B"/>
    <w:rsid w:val="00D52AC9"/>
    <w:rsid w:val="00D672CF"/>
    <w:rsid w:val="00D67A36"/>
    <w:rsid w:val="00D90C1C"/>
    <w:rsid w:val="00DA465A"/>
    <w:rsid w:val="00DB06F6"/>
    <w:rsid w:val="00DB5D2F"/>
    <w:rsid w:val="00DC2D10"/>
    <w:rsid w:val="00DC5FBA"/>
    <w:rsid w:val="00DD411C"/>
    <w:rsid w:val="00DD77A9"/>
    <w:rsid w:val="00DF0BB5"/>
    <w:rsid w:val="00DF18AD"/>
    <w:rsid w:val="00DF29DC"/>
    <w:rsid w:val="00E02542"/>
    <w:rsid w:val="00E106AC"/>
    <w:rsid w:val="00E27E9A"/>
    <w:rsid w:val="00E3404B"/>
    <w:rsid w:val="00E42406"/>
    <w:rsid w:val="00E507C6"/>
    <w:rsid w:val="00E64D0D"/>
    <w:rsid w:val="00E678C7"/>
    <w:rsid w:val="00E708B0"/>
    <w:rsid w:val="00E73942"/>
    <w:rsid w:val="00E73F10"/>
    <w:rsid w:val="00E769D5"/>
    <w:rsid w:val="00E84DFD"/>
    <w:rsid w:val="00E84F2D"/>
    <w:rsid w:val="00E87D75"/>
    <w:rsid w:val="00E92770"/>
    <w:rsid w:val="00EA0D1C"/>
    <w:rsid w:val="00EE00EF"/>
    <w:rsid w:val="00EE2AD8"/>
    <w:rsid w:val="00EE58CC"/>
    <w:rsid w:val="00EF5C3B"/>
    <w:rsid w:val="00F040FE"/>
    <w:rsid w:val="00F07197"/>
    <w:rsid w:val="00F3640D"/>
    <w:rsid w:val="00F53D86"/>
    <w:rsid w:val="00F56F64"/>
    <w:rsid w:val="00F57F63"/>
    <w:rsid w:val="00F61152"/>
    <w:rsid w:val="00F63820"/>
    <w:rsid w:val="00F64758"/>
    <w:rsid w:val="00F65F7B"/>
    <w:rsid w:val="00F67D6D"/>
    <w:rsid w:val="00F71D67"/>
    <w:rsid w:val="00F85790"/>
    <w:rsid w:val="00F96C07"/>
    <w:rsid w:val="00FA4E80"/>
    <w:rsid w:val="00FA68C8"/>
    <w:rsid w:val="00FB42EF"/>
    <w:rsid w:val="00FD19B9"/>
    <w:rsid w:val="00FE7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51E31"/>
    <w:rPr>
      <w:sz w:val="28"/>
      <w:szCs w:val="28"/>
    </w:rPr>
  </w:style>
  <w:style w:type="paragraph" w:styleId="Titolo1">
    <w:name w:val="heading 1"/>
    <w:basedOn w:val="Normale"/>
    <w:next w:val="Normale"/>
    <w:qFormat/>
    <w:rsid w:val="00B42140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3850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predefinitoparagrafo2">
    <w:name w:val="Car. predefinito paragrafo2"/>
    <w:rsid w:val="00041D52"/>
  </w:style>
  <w:style w:type="paragraph" w:styleId="Testofumetto">
    <w:name w:val="Balloon Text"/>
    <w:basedOn w:val="Normale"/>
    <w:semiHidden/>
    <w:rsid w:val="006341E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D6A02"/>
    <w:pPr>
      <w:ind w:left="720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D3297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3297A"/>
  </w:style>
  <w:style w:type="paragraph" w:styleId="Testonotaapidipagina">
    <w:name w:val="footnote text"/>
    <w:basedOn w:val="Normale"/>
    <w:link w:val="TestonotaapidipaginaCarattere"/>
    <w:rsid w:val="00AB76D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B76D5"/>
  </w:style>
  <w:style w:type="character" w:styleId="Rimandonotaapidipagina">
    <w:name w:val="footnote reference"/>
    <w:basedOn w:val="Carpredefinitoparagrafo"/>
    <w:rsid w:val="00AB76D5"/>
    <w:rPr>
      <w:vertAlign w:val="superscript"/>
    </w:rPr>
  </w:style>
  <w:style w:type="paragraph" w:styleId="Intestazione">
    <w:name w:val="header"/>
    <w:basedOn w:val="Normale"/>
    <w:link w:val="IntestazioneCarattere"/>
    <w:rsid w:val="00AB76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B76D5"/>
    <w:rPr>
      <w:sz w:val="28"/>
      <w:szCs w:val="28"/>
    </w:rPr>
  </w:style>
  <w:style w:type="paragraph" w:styleId="Corpodeltesto">
    <w:name w:val="Body Text"/>
    <w:basedOn w:val="Normale"/>
    <w:link w:val="CorpodeltestoCarattere"/>
    <w:rsid w:val="005233A4"/>
    <w:pPr>
      <w:tabs>
        <w:tab w:val="left" w:pos="709"/>
      </w:tabs>
      <w:jc w:val="both"/>
    </w:pPr>
    <w:rPr>
      <w:sz w:val="24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5233A4"/>
    <w:rPr>
      <w:sz w:val="24"/>
    </w:rPr>
  </w:style>
  <w:style w:type="character" w:styleId="Enfasicorsivo">
    <w:name w:val="Emphasis"/>
    <w:basedOn w:val="Carpredefinitoparagrafo"/>
    <w:qFormat/>
    <w:rsid w:val="005233A4"/>
    <w:rPr>
      <w:i/>
      <w:iCs/>
    </w:rPr>
  </w:style>
  <w:style w:type="character" w:styleId="Enfasigrassetto">
    <w:name w:val="Strong"/>
    <w:basedOn w:val="Carpredefinitoparagrafo"/>
    <w:qFormat/>
    <w:rsid w:val="005233A4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72CF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15A735-EBCC-4089-A584-267D10490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1317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AUTOMOBILE CLUB MANTOVA</Company>
  <LinksUpToDate>false</LinksUpToDate>
  <CharactersWithSpaces>9026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ACI</dc:creator>
  <cp:lastModifiedBy>Direzione</cp:lastModifiedBy>
  <cp:revision>2</cp:revision>
  <cp:lastPrinted>2017-10-31T13:21:00Z</cp:lastPrinted>
  <dcterms:created xsi:type="dcterms:W3CDTF">2019-03-27T11:12:00Z</dcterms:created>
  <dcterms:modified xsi:type="dcterms:W3CDTF">2019-03-27T11:12:00Z</dcterms:modified>
</cp:coreProperties>
</file>