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52.emf" ContentType="image/x-emf"/>
  <Override PartName="/word/media/image18.emf" ContentType="image/x-emf"/>
  <Override PartName="/word/media/image103.emf" ContentType="image/x-emf"/>
  <Override PartName="/word/media/image35.emf" ContentType="image/x-emf"/>
  <Override PartName="/word/media/image120.emf" ContentType="image/x-emf"/>
  <Override PartName="/word/media/image69.emf" ContentType="image/x-emf"/>
  <Override PartName="/word/media/image86.emf" ContentType="image/x-emf"/>
  <Override PartName="/word/media/image137.emf" ContentType="image/x-emf"/>
  <Override PartName="/word/media/image154.emf" ContentType="image/x-emf"/>
  <Override PartName="/word/embeddings/oleObject1.xlsx" ContentType="application/vnd.openxmlformats-officedocument.spreadsheetml.sheet"/>
  <Override PartName="/word/embeddings/oleObject2.xlsx" ContentType="application/vnd.openxmlformats-officedocument.spreadsheetml.sheet"/>
  <Override PartName="/word/embeddings/oleObject3.xlsx" ContentType="application/vnd.openxmlformats-officedocument.spreadsheetml.sheet"/>
  <Override PartName="/word/embeddings/oleObject4.xlsx" ContentType="application/vnd.openxmlformats-officedocument.spreadsheetml.sheet"/>
  <Override PartName="/word/embeddings/oleObject5.xlsx" ContentType="application/vnd.openxmlformats-officedocument.spreadsheetml.sheet"/>
  <Override PartName="/word/embeddings/oleObject6.xlsx" ContentType="application/vnd.openxmlformats-officedocument.spreadsheetml.sheet"/>
  <Override PartName="/word/embeddings/oleObject7.xlsx" ContentType="application/vnd.openxmlformats-officedocument.spreadsheetml.sheet"/>
  <Override PartName="/word/embeddings/oleObject8.xlsx" ContentType="application/vnd.openxmlformats-officedocument.spreadsheetml.sheet"/>
  <Override PartName="/word/embeddings/oleObject9.xlsx" ContentType="application/vnd.openxmlformats-officedocument.spreadsheetml.sheet"/>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rFonts w:ascii="Arial" w:hAnsi="Arial" w:eastAsia="Arial" w:cs="Arial"/>
          <w:sz w:val="60"/>
          <w:u w:val="single"/>
        </w:rPr>
      </w:pPr>
      <w:r>
        <w:rPr/>
        <w:drawing>
          <wp:inline distT="0" distB="0" distL="0" distR="0">
            <wp:extent cx="4901565" cy="1639570"/>
            <wp:effectExtent l="0" t="0" r="0" b="0"/>
            <wp:docPr id="1"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
                    <pic:cNvPicPr>
                      <a:picLocks noChangeAspect="1" noChangeArrowheads="1"/>
                    </pic:cNvPicPr>
                  </pic:nvPicPr>
                  <pic:blipFill>
                    <a:blip r:embed="rId2"/>
                    <a:stretch>
                      <a:fillRect/>
                    </a:stretch>
                  </pic:blipFill>
                  <pic:spPr bwMode="auto">
                    <a:xfrm>
                      <a:off x="0" y="0"/>
                      <a:ext cx="4901565" cy="1639570"/>
                    </a:xfrm>
                    <a:prstGeom prst="rect">
                      <a:avLst/>
                    </a:prstGeom>
                  </pic:spPr>
                </pic:pic>
              </a:graphicData>
            </a:graphic>
          </wp:inline>
        </w:drawing>
      </w:r>
    </w:p>
    <w:p>
      <w:pPr>
        <w:pStyle w:val="Normal"/>
        <w:spacing w:lineRule="auto" w:line="360"/>
        <w:jc w:val="center"/>
        <w:rPr>
          <w:rFonts w:ascii="Arial" w:hAnsi="Arial" w:eastAsia="Arial" w:cs="Arial"/>
          <w:sz w:val="60"/>
          <w:u w:val="single"/>
        </w:rPr>
      </w:pPr>
      <w:r>
        <w:rPr>
          <w:rFonts w:eastAsia="Arial" w:cs="Arial" w:ascii="Arial" w:hAnsi="Arial"/>
          <w:sz w:val="60"/>
          <w:u w:val="single"/>
        </w:rPr>
      </w:r>
    </w:p>
    <w:p>
      <w:pPr>
        <w:pStyle w:val="Normal"/>
        <w:spacing w:lineRule="auto" w:line="360"/>
        <w:jc w:val="center"/>
        <w:rPr>
          <w:rFonts w:ascii="Arial" w:hAnsi="Arial" w:eastAsia="Arial" w:cs="Arial"/>
          <w:sz w:val="60"/>
        </w:rPr>
      </w:pPr>
      <w:r>
        <w:rPr>
          <w:rFonts w:eastAsia="Arial" w:cs="Arial" w:ascii="Arial" w:hAnsi="Arial"/>
          <w:sz w:val="60"/>
        </w:rPr>
      </w:r>
    </w:p>
    <w:p>
      <w:pPr>
        <w:pStyle w:val="Normal"/>
        <w:spacing w:lineRule="auto" w:line="360"/>
        <w:jc w:val="center"/>
        <w:rPr/>
      </w:pPr>
      <w:r>
        <w:rPr>
          <w:rFonts w:eastAsia="Arial" w:cs="Arial" w:ascii="Arial" w:hAnsi="Arial"/>
          <w:sz w:val="60"/>
        </w:rPr>
        <w:t xml:space="preserve">RELAZIONE DEL </w:t>
      </w:r>
    </w:p>
    <w:p>
      <w:pPr>
        <w:pStyle w:val="Normal"/>
        <w:spacing w:lineRule="auto" w:line="360"/>
        <w:jc w:val="center"/>
        <w:rPr/>
      </w:pPr>
      <w:r>
        <w:rPr>
          <w:rFonts w:eastAsia="Arial" w:cs="Arial" w:ascii="Arial" w:hAnsi="Arial"/>
          <w:sz w:val="60"/>
        </w:rPr>
        <w:t>PRESIDENTE</w:t>
      </w:r>
    </w:p>
    <w:p>
      <w:pPr>
        <w:pStyle w:val="Normal"/>
        <w:spacing w:lineRule="auto" w:line="360"/>
        <w:jc w:val="center"/>
        <w:rPr/>
      </w:pPr>
      <w:r>
        <w:rPr>
          <w:rFonts w:eastAsia="Arial" w:cs="Arial" w:ascii="Arial" w:hAnsi="Arial"/>
          <w:b/>
          <w:sz w:val="40"/>
        </w:rPr>
        <w:t>al bilancio d’esercizio 2022</w:t>
      </w:r>
    </w:p>
    <w:p>
      <w:pPr>
        <w:pStyle w:val="Normal"/>
        <w:spacing w:lineRule="auto" w:line="360"/>
        <w:rPr>
          <w:rFonts w:ascii="Arial" w:hAnsi="Arial" w:eastAsia="Arial" w:cs="Arial"/>
          <w:b/>
          <w:b/>
          <w:sz w:val="60"/>
          <w:u w:val="single"/>
        </w:rPr>
      </w:pPr>
      <w:r>
        <w:rPr>
          <w:rFonts w:eastAsia="Arial" w:cs="Arial" w:ascii="Arial" w:hAnsi="Arial"/>
          <w:b/>
          <w:sz w:val="60"/>
          <w:u w:val="single"/>
        </w:rPr>
      </w:r>
      <w:r>
        <w:br w:type="page"/>
      </w:r>
    </w:p>
    <w:p>
      <w:pPr>
        <w:pStyle w:val="Normal"/>
        <w:jc w:val="center"/>
        <w:rPr/>
      </w:pPr>
      <w:r>
        <w:rPr>
          <w:rFonts w:eastAsia="Arial" w:cs="Arial" w:ascii="Arial" w:hAnsi="Arial"/>
          <w:sz w:val="28"/>
          <w:szCs w:val="28"/>
        </w:rPr>
        <w:t>INDICE</w:t>
      </w:r>
    </w:p>
    <w:p>
      <w:pPr>
        <w:pStyle w:val="Normal"/>
        <w:jc w:val="center"/>
        <w:rPr>
          <w:rFonts w:ascii="Arial" w:hAnsi="Arial" w:eastAsia="Arial" w:cs="Arial"/>
          <w:sz w:val="30"/>
          <w:szCs w:val="28"/>
          <w:shd w:fill="FFFF00" w:val="clear"/>
        </w:rPr>
      </w:pPr>
      <w:r>
        <w:rPr>
          <w:rFonts w:eastAsia="Arial" w:cs="Arial" w:ascii="Arial" w:hAnsi="Arial"/>
          <w:sz w:val="30"/>
          <w:szCs w:val="28"/>
          <w:shd w:fill="FFFF00" w:val="clear"/>
        </w:rPr>
      </w:r>
    </w:p>
    <w:p>
      <w:pPr>
        <w:pStyle w:val="TOCHeading"/>
        <w:rPr/>
      </w:pPr>
      <w:r>
        <w:rPr/>
      </w:r>
    </w:p>
    <w:sdt>
      <w:sdtPr>
        <w:docPartObj>
          <w:docPartGallery w:val="Table of Contents"/>
          <w:docPartUnique w:val="true"/>
        </w:docPartObj>
      </w:sdtPr>
      <w:sdtContent>
        <w:p>
          <w:pPr>
            <w:pStyle w:val="Indice1"/>
            <w:tabs>
              <w:tab w:val="clear" w:pos="709"/>
              <w:tab w:val="right" w:pos="9628" w:leader="dot"/>
            </w:tabs>
            <w:rPr>
              <w:rFonts w:ascii="Calibri" w:hAnsi="Calibri" w:eastAsia="" w:cs="" w:asciiTheme="minorHAnsi" w:cstheme="minorBidi" w:eastAsiaTheme="minorEastAsia" w:hAnsiTheme="minorHAnsi"/>
              <w:kern w:val="0"/>
              <w:sz w:val="22"/>
              <w:szCs w:val="22"/>
              <w:lang w:eastAsia="it-IT" w:bidi="ar-SA"/>
            </w:rPr>
          </w:pPr>
          <w:r>
            <w:fldChar w:fldCharType="begin"/>
          </w:r>
          <w:r>
            <w:rPr>
              <w:rStyle w:val="Saltoaindice"/>
              <w:lang w:bidi="hi-IN"/>
            </w:rPr>
            <w:instrText> TOC \o "1-3" \h</w:instrText>
          </w:r>
          <w:r>
            <w:rPr>
              <w:rStyle w:val="Saltoaindice"/>
              <w:lang w:bidi="hi-IN"/>
            </w:rPr>
            <w:fldChar w:fldCharType="separate"/>
          </w:r>
          <w:hyperlink w:anchor="_Toc132099805">
            <w:bookmarkStart w:id="0" w:name="_GoBack"/>
            <w:bookmarkEnd w:id="0"/>
            <w:r>
              <w:rPr>
                <w:rStyle w:val="Saltoaindice"/>
                <w:lang w:bidi="hi-IN"/>
              </w:rPr>
              <w:t>1. DATI DI SINTESI</w:t>
            </w:r>
            <w:r>
              <w:rPr>
                <w:webHidden/>
              </w:rPr>
              <w:fldChar w:fldCharType="begin"/>
            </w:r>
            <w:r>
              <w:rPr>
                <w:webHidden/>
              </w:rPr>
              <w:instrText>PAGEREF _Toc132099805 \h</w:instrText>
            </w:r>
            <w:r>
              <w:rPr>
                <w:webHidden/>
              </w:rPr>
              <w:fldChar w:fldCharType="separate"/>
            </w:r>
            <w:r>
              <w:rPr>
                <w:rStyle w:val="Saltoaindice"/>
              </w:rPr>
              <w:tab/>
              <w:t>3</w:t>
            </w:r>
            <w:r>
              <w:rPr>
                <w:webHidden/>
              </w:rPr>
              <w:fldChar w:fldCharType="end"/>
            </w:r>
          </w:hyperlink>
        </w:p>
        <w:p>
          <w:pPr>
            <w:pStyle w:val="Indice1"/>
            <w:tabs>
              <w:tab w:val="clear" w:pos="709"/>
              <w:tab w:val="right" w:pos="9628" w:leader="dot"/>
            </w:tabs>
            <w:rPr>
              <w:rFonts w:ascii="Calibri" w:hAnsi="Calibri" w:eastAsia="" w:cs="" w:asciiTheme="minorHAnsi" w:cstheme="minorBidi" w:eastAsiaTheme="minorEastAsia" w:hAnsiTheme="minorHAnsi"/>
              <w:kern w:val="0"/>
              <w:sz w:val="22"/>
              <w:szCs w:val="22"/>
              <w:lang w:eastAsia="it-IT" w:bidi="ar-SA"/>
            </w:rPr>
          </w:pPr>
          <w:hyperlink w:anchor="_Toc132099806">
            <w:r>
              <w:rPr>
                <w:rStyle w:val="Saltoaindice"/>
                <w:lang w:bidi="hi-IN"/>
              </w:rPr>
              <w:t>2. ANALISI DEGLI SCOSTAMENTI RISPETTO AL BUDGET</w:t>
            </w:r>
            <w:r>
              <w:rPr>
                <w:webHidden/>
              </w:rPr>
              <w:fldChar w:fldCharType="begin"/>
            </w:r>
            <w:r>
              <w:rPr>
                <w:webHidden/>
              </w:rPr>
              <w:instrText>PAGEREF _Toc132099806 \h</w:instrText>
            </w:r>
            <w:r>
              <w:rPr>
                <w:webHidden/>
              </w:rPr>
              <w:fldChar w:fldCharType="separate"/>
            </w:r>
            <w:r>
              <w:rPr>
                <w:rStyle w:val="Saltoaindice"/>
              </w:rPr>
              <w:tab/>
              <w:t>5</w:t>
            </w:r>
            <w:r>
              <w:rPr>
                <w:webHidden/>
              </w:rPr>
              <w:fldChar w:fldCharType="end"/>
            </w:r>
          </w:hyperlink>
        </w:p>
        <w:p>
          <w:pPr>
            <w:pStyle w:val="Indice2"/>
            <w:tabs>
              <w:tab w:val="clear" w:pos="709"/>
              <w:tab w:val="right" w:pos="9628" w:leader="dot"/>
            </w:tabs>
            <w:rPr>
              <w:rFonts w:ascii="Calibri" w:hAnsi="Calibri" w:eastAsia="" w:cs="" w:asciiTheme="minorHAnsi" w:cstheme="minorBidi" w:eastAsiaTheme="minorEastAsia" w:hAnsiTheme="minorHAnsi"/>
              <w:kern w:val="0"/>
              <w:sz w:val="22"/>
              <w:szCs w:val="22"/>
              <w:lang w:eastAsia="it-IT" w:bidi="ar-SA"/>
            </w:rPr>
          </w:pPr>
          <w:hyperlink w:anchor="_Toc132099807">
            <w:r>
              <w:rPr>
                <w:rStyle w:val="Saltoaindice"/>
                <w:lang w:bidi="hi-IN"/>
              </w:rPr>
              <w:t>2.1 RAFFRONTO CON IL BUDGET ECONOMICO</w:t>
            </w:r>
            <w:r>
              <w:rPr>
                <w:webHidden/>
              </w:rPr>
              <w:fldChar w:fldCharType="begin"/>
            </w:r>
            <w:r>
              <w:rPr>
                <w:webHidden/>
              </w:rPr>
              <w:instrText>PAGEREF _Toc132099807 \h</w:instrText>
            </w:r>
            <w:r>
              <w:rPr>
                <w:webHidden/>
              </w:rPr>
              <w:fldChar w:fldCharType="separate"/>
            </w:r>
            <w:r>
              <w:rPr>
                <w:rStyle w:val="Saltoaindice"/>
              </w:rPr>
              <w:tab/>
              <w:t>5</w:t>
            </w:r>
            <w:r>
              <w:rPr>
                <w:webHidden/>
              </w:rPr>
              <w:fldChar w:fldCharType="end"/>
            </w:r>
          </w:hyperlink>
        </w:p>
        <w:p>
          <w:pPr>
            <w:pStyle w:val="Indice2"/>
            <w:tabs>
              <w:tab w:val="clear" w:pos="709"/>
              <w:tab w:val="right" w:pos="9628" w:leader="dot"/>
            </w:tabs>
            <w:rPr>
              <w:rFonts w:ascii="Calibri" w:hAnsi="Calibri" w:eastAsia="" w:cs="" w:asciiTheme="minorHAnsi" w:cstheme="minorBidi" w:eastAsiaTheme="minorEastAsia" w:hAnsiTheme="minorHAnsi"/>
              <w:kern w:val="0"/>
              <w:sz w:val="22"/>
              <w:szCs w:val="22"/>
              <w:lang w:eastAsia="it-IT" w:bidi="ar-SA"/>
            </w:rPr>
          </w:pPr>
          <w:hyperlink w:anchor="_Toc132099808">
            <w:r>
              <w:rPr>
                <w:rStyle w:val="Saltoaindice"/>
                <w:lang w:bidi="hi-IN"/>
              </w:rPr>
              <w:t>2.2 RAFFRONTO CON IL BUDGET DEGLI INVESTIMENTI / DISMISSIONI</w:t>
            </w:r>
            <w:r>
              <w:rPr>
                <w:webHidden/>
              </w:rPr>
              <w:fldChar w:fldCharType="begin"/>
            </w:r>
            <w:r>
              <w:rPr>
                <w:webHidden/>
              </w:rPr>
              <w:instrText>PAGEREF _Toc132099808 \h</w:instrText>
            </w:r>
            <w:r>
              <w:rPr>
                <w:webHidden/>
              </w:rPr>
              <w:fldChar w:fldCharType="separate"/>
            </w:r>
            <w:r>
              <w:rPr>
                <w:rStyle w:val="Saltoaindice"/>
              </w:rPr>
              <w:tab/>
              <w:t>7</w:t>
            </w:r>
            <w:r>
              <w:rPr>
                <w:webHidden/>
              </w:rPr>
              <w:fldChar w:fldCharType="end"/>
            </w:r>
          </w:hyperlink>
        </w:p>
        <w:p>
          <w:pPr>
            <w:pStyle w:val="Indice1"/>
            <w:tabs>
              <w:tab w:val="clear" w:pos="709"/>
              <w:tab w:val="right" w:pos="9628" w:leader="dot"/>
            </w:tabs>
            <w:rPr>
              <w:rFonts w:ascii="Calibri" w:hAnsi="Calibri" w:eastAsia="" w:cs="" w:asciiTheme="minorHAnsi" w:cstheme="minorBidi" w:eastAsiaTheme="minorEastAsia" w:hAnsiTheme="minorHAnsi"/>
              <w:kern w:val="0"/>
              <w:sz w:val="22"/>
              <w:szCs w:val="22"/>
              <w:lang w:eastAsia="it-IT" w:bidi="ar-SA"/>
            </w:rPr>
          </w:pPr>
          <w:hyperlink w:anchor="_Toc132099809">
            <w:r>
              <w:rPr>
                <w:rStyle w:val="Saltoaindice"/>
                <w:lang w:bidi="hi-IN"/>
              </w:rPr>
              <w:t>3. ANALISI DELL’ANDAMENTO DELLA GESTIONE</w:t>
            </w:r>
            <w:r>
              <w:rPr>
                <w:webHidden/>
              </w:rPr>
              <w:fldChar w:fldCharType="begin"/>
            </w:r>
            <w:r>
              <w:rPr>
                <w:webHidden/>
              </w:rPr>
              <w:instrText>PAGEREF _Toc132099809 \h</w:instrText>
            </w:r>
            <w:r>
              <w:rPr>
                <w:webHidden/>
              </w:rPr>
              <w:fldChar w:fldCharType="separate"/>
            </w:r>
            <w:r>
              <w:rPr>
                <w:rStyle w:val="Saltoaindice"/>
              </w:rPr>
              <w:tab/>
              <w:t>8</w:t>
            </w:r>
            <w:r>
              <w:rPr>
                <w:webHidden/>
              </w:rPr>
              <w:fldChar w:fldCharType="end"/>
            </w:r>
          </w:hyperlink>
        </w:p>
        <w:p>
          <w:pPr>
            <w:pStyle w:val="Indice1"/>
            <w:tabs>
              <w:tab w:val="clear" w:pos="709"/>
              <w:tab w:val="right" w:pos="9628" w:leader="dot"/>
            </w:tabs>
            <w:rPr>
              <w:rFonts w:ascii="Calibri" w:hAnsi="Calibri" w:eastAsia="" w:cs="" w:asciiTheme="minorHAnsi" w:cstheme="minorBidi" w:eastAsiaTheme="minorEastAsia" w:hAnsiTheme="minorHAnsi"/>
              <w:kern w:val="0"/>
              <w:sz w:val="22"/>
              <w:szCs w:val="22"/>
              <w:lang w:eastAsia="it-IT" w:bidi="ar-SA"/>
            </w:rPr>
          </w:pPr>
          <w:hyperlink w:anchor="_Toc132099810">
            <w:r>
              <w:rPr>
                <w:rStyle w:val="Saltoaindice"/>
                <w:lang w:bidi="hi-IN"/>
              </w:rPr>
              <w:t>4. ANDAMENTO DELLA SITUAZIONE PATRIMONIALE, FINANZIARIA ED ECONOMICA</w:t>
            </w:r>
            <w:r>
              <w:rPr>
                <w:webHidden/>
              </w:rPr>
              <w:fldChar w:fldCharType="begin"/>
            </w:r>
            <w:r>
              <w:rPr>
                <w:webHidden/>
              </w:rPr>
              <w:instrText>PAGEREF _Toc132099810 \h</w:instrText>
            </w:r>
            <w:r>
              <w:rPr>
                <w:webHidden/>
              </w:rPr>
              <w:fldChar w:fldCharType="separate"/>
            </w:r>
            <w:r>
              <w:rPr>
                <w:rStyle w:val="Saltoaindice"/>
              </w:rPr>
              <w:tab/>
              <w:t>9</w:t>
            </w:r>
            <w:r>
              <w:rPr>
                <w:webHidden/>
              </w:rPr>
              <w:fldChar w:fldCharType="end"/>
            </w:r>
          </w:hyperlink>
        </w:p>
        <w:p>
          <w:pPr>
            <w:pStyle w:val="Indice2"/>
            <w:tabs>
              <w:tab w:val="clear" w:pos="709"/>
              <w:tab w:val="right" w:pos="9628" w:leader="dot"/>
            </w:tabs>
            <w:rPr>
              <w:rFonts w:ascii="Calibri" w:hAnsi="Calibri" w:eastAsia="" w:cs="" w:asciiTheme="minorHAnsi" w:cstheme="minorBidi" w:eastAsiaTheme="minorEastAsia" w:hAnsiTheme="minorHAnsi"/>
              <w:kern w:val="0"/>
              <w:sz w:val="22"/>
              <w:szCs w:val="22"/>
              <w:lang w:eastAsia="it-IT" w:bidi="ar-SA"/>
            </w:rPr>
          </w:pPr>
          <w:hyperlink w:anchor="_Toc132099811">
            <w:r>
              <w:rPr>
                <w:rStyle w:val="Saltoaindice"/>
                <w:lang w:bidi="hi-IN"/>
              </w:rPr>
              <w:t>4.1 SITUAZIONE PATRIMONIALE</w:t>
            </w:r>
            <w:r>
              <w:rPr>
                <w:webHidden/>
              </w:rPr>
              <w:fldChar w:fldCharType="begin"/>
            </w:r>
            <w:r>
              <w:rPr>
                <w:webHidden/>
              </w:rPr>
              <w:instrText>PAGEREF _Toc132099811 \h</w:instrText>
            </w:r>
            <w:r>
              <w:rPr>
                <w:webHidden/>
              </w:rPr>
              <w:fldChar w:fldCharType="separate"/>
            </w:r>
            <w:r>
              <w:rPr>
                <w:rStyle w:val="Saltoaindice"/>
              </w:rPr>
              <w:tab/>
              <w:t>9</w:t>
            </w:r>
            <w:r>
              <w:rPr>
                <w:webHidden/>
              </w:rPr>
              <w:fldChar w:fldCharType="end"/>
            </w:r>
          </w:hyperlink>
        </w:p>
        <w:p>
          <w:pPr>
            <w:pStyle w:val="Indice2"/>
            <w:tabs>
              <w:tab w:val="clear" w:pos="709"/>
              <w:tab w:val="right" w:pos="9628" w:leader="dot"/>
            </w:tabs>
            <w:rPr>
              <w:rFonts w:ascii="Calibri" w:hAnsi="Calibri" w:eastAsia="" w:cs="" w:asciiTheme="minorHAnsi" w:cstheme="minorBidi" w:eastAsiaTheme="minorEastAsia" w:hAnsiTheme="minorHAnsi"/>
              <w:kern w:val="0"/>
              <w:sz w:val="22"/>
              <w:szCs w:val="22"/>
              <w:lang w:eastAsia="it-IT" w:bidi="ar-SA"/>
            </w:rPr>
          </w:pPr>
          <w:hyperlink w:anchor="_Toc132099812">
            <w:r>
              <w:rPr>
                <w:rStyle w:val="Saltoaindice"/>
                <w:lang w:bidi="hi-IN"/>
              </w:rPr>
              <w:t>4.2 SITUAZIONE ECONOMICA</w:t>
            </w:r>
            <w:r>
              <w:rPr>
                <w:webHidden/>
              </w:rPr>
              <w:fldChar w:fldCharType="begin"/>
            </w:r>
            <w:r>
              <w:rPr>
                <w:webHidden/>
              </w:rPr>
              <w:instrText>PAGEREF _Toc132099812 \h</w:instrText>
            </w:r>
            <w:r>
              <w:rPr>
                <w:webHidden/>
              </w:rPr>
              <w:fldChar w:fldCharType="separate"/>
            </w:r>
            <w:r>
              <w:rPr>
                <w:rStyle w:val="Saltoaindice"/>
              </w:rPr>
              <w:tab/>
              <w:t>12</w:t>
            </w:r>
            <w:r>
              <w:rPr>
                <w:webHidden/>
              </w:rPr>
              <w:fldChar w:fldCharType="end"/>
            </w:r>
          </w:hyperlink>
        </w:p>
        <w:p>
          <w:pPr>
            <w:pStyle w:val="Indice1"/>
            <w:tabs>
              <w:tab w:val="clear" w:pos="709"/>
              <w:tab w:val="right" w:pos="9628" w:leader="dot"/>
            </w:tabs>
            <w:rPr>
              <w:rFonts w:ascii="Calibri" w:hAnsi="Calibri" w:eastAsia="" w:cs="" w:asciiTheme="minorHAnsi" w:cstheme="minorBidi" w:eastAsiaTheme="minorEastAsia" w:hAnsiTheme="minorHAnsi"/>
              <w:kern w:val="0"/>
              <w:sz w:val="22"/>
              <w:szCs w:val="22"/>
              <w:lang w:eastAsia="it-IT" w:bidi="ar-SA"/>
            </w:rPr>
          </w:pPr>
          <w:hyperlink w:anchor="_Toc132099813">
            <w:r>
              <w:rPr>
                <w:rStyle w:val="Saltoaindice"/>
                <w:lang w:bidi="hi-IN"/>
              </w:rPr>
              <w:t>5. EVOLUZIONE PREVEDIBILE DELLA GESTIONE</w:t>
            </w:r>
            <w:r>
              <w:rPr>
                <w:webHidden/>
              </w:rPr>
              <w:fldChar w:fldCharType="begin"/>
            </w:r>
            <w:r>
              <w:rPr>
                <w:webHidden/>
              </w:rPr>
              <w:instrText>PAGEREF _Toc132099813 \h</w:instrText>
            </w:r>
            <w:r>
              <w:rPr>
                <w:webHidden/>
              </w:rPr>
              <w:fldChar w:fldCharType="separate"/>
            </w:r>
            <w:r>
              <w:rPr>
                <w:rStyle w:val="Saltoaindice"/>
              </w:rPr>
              <w:tab/>
              <w:t>12</w:t>
            </w:r>
            <w:r>
              <w:rPr>
                <w:webHidden/>
              </w:rPr>
              <w:fldChar w:fldCharType="end"/>
            </w:r>
          </w:hyperlink>
        </w:p>
        <w:p>
          <w:pPr>
            <w:pStyle w:val="Indice1"/>
            <w:tabs>
              <w:tab w:val="clear" w:pos="709"/>
              <w:tab w:val="right" w:pos="9628" w:leader="dot"/>
            </w:tabs>
            <w:rPr>
              <w:rFonts w:ascii="Calibri" w:hAnsi="Calibri" w:eastAsia="" w:cs="" w:asciiTheme="minorHAnsi" w:cstheme="minorBidi" w:eastAsiaTheme="minorEastAsia" w:hAnsiTheme="minorHAnsi"/>
              <w:kern w:val="0"/>
              <w:sz w:val="22"/>
              <w:szCs w:val="22"/>
              <w:lang w:eastAsia="it-IT" w:bidi="ar-SA"/>
            </w:rPr>
          </w:pPr>
          <w:hyperlink w:anchor="_Toc132099814">
            <w:r>
              <w:rPr>
                <w:rStyle w:val="Saltoaindice"/>
                <w:lang w:bidi="hi-IN"/>
              </w:rPr>
              <w:t>6. DESTINAZIONE DEL RISULTATO ECONOMICO</w:t>
            </w:r>
            <w:r>
              <w:rPr>
                <w:webHidden/>
              </w:rPr>
              <w:fldChar w:fldCharType="begin"/>
            </w:r>
            <w:r>
              <w:rPr>
                <w:webHidden/>
              </w:rPr>
              <w:instrText>PAGEREF _Toc132099814 \h</w:instrText>
            </w:r>
            <w:r>
              <w:rPr>
                <w:webHidden/>
              </w:rPr>
              <w:fldChar w:fldCharType="separate"/>
            </w:r>
            <w:r>
              <w:rPr>
                <w:rStyle w:val="Saltoaindice"/>
              </w:rPr>
              <w:tab/>
              <w:t>13</w:t>
            </w:r>
            <w:r>
              <w:rPr>
                <w:webHidden/>
              </w:rPr>
              <w:fldChar w:fldCharType="end"/>
            </w:r>
          </w:hyperlink>
          <w:r>
            <w:rPr>
              <w:rStyle w:val="Saltoaindice"/>
            </w:rPr>
            <w:fldChar w:fldCharType="end"/>
          </w:r>
        </w:p>
      </w:sdtContent>
    </w:sdt>
    <w:p>
      <w:pPr>
        <w:pStyle w:val="Normal"/>
        <w:suppressAutoHyphens w:val="false"/>
        <w:spacing w:lineRule="auto" w:line="360"/>
        <w:rPr/>
      </w:pPr>
      <w:r>
        <w:rPr/>
      </w:r>
      <w:r>
        <w:br w:type="page"/>
      </w:r>
    </w:p>
    <w:p>
      <w:pPr>
        <w:pStyle w:val="Titolo1"/>
        <w:spacing w:lineRule="auto" w:line="360" w:before="0" w:after="0"/>
        <w:jc w:val="both"/>
        <w:rPr/>
      </w:pPr>
      <w:bookmarkStart w:id="1" w:name="_Toc132099805"/>
      <w:r>
        <w:rPr/>
        <w:t>1. DATI DI SINTESI</w:t>
      </w:r>
      <w:bookmarkEnd w:id="1"/>
    </w:p>
    <w:p>
      <w:pPr>
        <w:pStyle w:val="Normal"/>
        <w:spacing w:lineRule="auto" w:line="360"/>
        <w:jc w:val="both"/>
        <w:rPr/>
      </w:pPr>
      <w:r>
        <w:rPr>
          <w:rFonts w:eastAsia="Arial" w:cs="Arial" w:ascii="Arial" w:hAnsi="Arial"/>
        </w:rPr>
        <w:t>Il bilancio dell’Automobile Club Forlì - Cesena per l’esercizio 2022 presenta le seguenti risultanze di sintesi:</w:t>
      </w:r>
    </w:p>
    <w:p>
      <w:pPr>
        <w:pStyle w:val="Normal"/>
        <w:spacing w:lineRule="auto" w:line="360"/>
        <w:jc w:val="both"/>
        <w:rPr/>
      </w:pPr>
      <w:r>
        <w:fldChar w:fldCharType="begin"/>
      </w:r>
      <w:r>
        <w:rPr/>
        <w:instrText>LINK Excel.Sheet.12 "C:\\Users\\taiani\\Documents\\Automobile Club\\FORLI\\2021\\Bilancio 2021\\Prospetti\\FC_ALLEGATI_BILANCIO_2021.xlsx" riclassificati!R60C1:R64C2 \a \f 4 \h  \* MERGEFORMAT</w:instrText>
      </w:r>
      <w:r>
        <w:rPr/>
      </w:r>
      <w:r>
        <w:rPr/>
        <w:fldChar w:fldCharType="separate"/>
      </w:r>
      <w:r>
        <w:rPr/>
      </w:r>
    </w:p>
    <w:p>
      <w:pPr>
        <w:pStyle w:val="Normal"/>
        <w:spacing w:lineRule="auto" w:line="360"/>
        <w:jc w:val="center"/>
        <w:rPr/>
      </w:pPr>
      <w:r>
        <w:rPr/>
        <w:object w:dxaOrig="6524" w:dyaOrig="1606">
          <v:shape id="ole_rId3" style="width:308.75pt;height:75.9pt" o:ole="">
            <v:imagedata r:id="rId4" o:title=""/>
          </v:shape>
          <o:OLEObject Type="Embed" ProgID="Excel.Sheet.12" ShapeID="ole_rId3" DrawAspect="Content" ObjectID="_1734962019" r:id="rId3"/>
        </w:object>
      </w:r>
      <w:r>
        <w:rPr/>
      </w:r>
      <w:r>
        <w:rPr/>
        <w:fldChar w:fldCharType="end"/>
      </w:r>
    </w:p>
    <w:p>
      <w:pPr>
        <w:pStyle w:val="Normal"/>
        <w:widowControl w:val="false"/>
        <w:spacing w:lineRule="auto" w:line="360"/>
        <w:jc w:val="both"/>
        <w:rPr>
          <w:rFonts w:ascii="Arial" w:hAnsi="Arial" w:eastAsia="Arial" w:cs="Arial"/>
        </w:rPr>
      </w:pPr>
      <w:r>
        <w:rPr>
          <w:rFonts w:eastAsia="Arial" w:cs="Arial" w:ascii="Arial" w:hAnsi="Arial"/>
        </w:rPr>
      </w:r>
    </w:p>
    <w:p>
      <w:pPr>
        <w:pStyle w:val="Normal"/>
        <w:spacing w:lineRule="auto" w:line="360"/>
        <w:jc w:val="both"/>
        <w:rPr/>
      </w:pPr>
      <w:r>
        <w:rPr>
          <w:rFonts w:eastAsia="Arial" w:cs="Arial" w:ascii="Arial" w:hAnsi="Arial"/>
        </w:rPr>
        <w:t>Il conto economico presenta nell’anno un valore del MOL positivo pari a € 41.202, ampiamente in linea con l’obiettivo previsto dall’art. 4 del regolamento del contenimento della spesa adottato dall’Ente per il triennio 2020/2022</w:t>
      </w:r>
    </w:p>
    <w:p>
      <w:pPr>
        <w:pStyle w:val="Normal"/>
        <w:spacing w:lineRule="auto" w:line="360"/>
        <w:jc w:val="both"/>
        <w:rPr/>
      </w:pPr>
      <w:r>
        <w:rPr>
          <w:rFonts w:eastAsia="Arial" w:cs="Arial" w:ascii="Arial" w:hAnsi="Arial"/>
        </w:rPr>
        <w:t>Esso è stato così calcolato:</w:t>
      </w:r>
    </w:p>
    <w:p>
      <w:pPr>
        <w:pStyle w:val="Normal"/>
        <w:spacing w:lineRule="auto" w:line="360"/>
        <w:jc w:val="both"/>
        <w:rPr>
          <w:rFonts w:ascii="Arial" w:hAnsi="Arial" w:eastAsia="Arial" w:cs="Arial"/>
        </w:rPr>
      </w:pPr>
      <w:r>
        <w:rPr>
          <w:rFonts w:eastAsia="Arial" w:cs="Arial" w:ascii="Arial" w:hAnsi="Arial"/>
        </w:rPr>
      </w:r>
    </w:p>
    <w:p>
      <w:pPr>
        <w:pStyle w:val="Normal"/>
        <w:rPr/>
      </w:pPr>
      <w:r>
        <w:rPr>
          <w:rFonts w:cs="Arial" w:ascii="Arial" w:hAnsi="Arial"/>
          <w:b/>
          <w:sz w:val="18"/>
          <w:szCs w:val="18"/>
        </w:rPr>
        <w:t>Tabella 1a – Calcolo del margine operativo lordo</w:t>
      </w:r>
    </w:p>
    <w:p>
      <w:pPr>
        <w:pStyle w:val="Normal"/>
        <w:widowControl w:val="false"/>
        <w:spacing w:before="0" w:after="200"/>
        <w:jc w:val="center"/>
        <w:rPr>
          <w:rFonts w:ascii="Times New Roman" w:hAnsi="Times New Roman" w:eastAsia="Times New Roman" w:cs="Times New Roman"/>
          <w:kern w:val="0"/>
          <w:sz w:val="20"/>
          <w:szCs w:val="20"/>
          <w:lang w:eastAsia="it-IT" w:bidi="ar-SA"/>
        </w:rPr>
      </w:pPr>
      <w:r>
        <w:fldChar w:fldCharType="begin"/>
      </w:r>
      <w:r>
        <w:rPr/>
        <w:instrText>LINK Excel.Sheet.12 "C:\\Users\\taiani\\Documents\\Automobile Club\\FORLI\\2021\\Bilancio 2021\\Prospetti\\FC_ALLEGATI_BILANCIO_2021.xlsx" riclassificati!R40C1:R56C2 \a \f 4 \h \* MERGEFORMAT</w:instrText>
      </w:r>
      <w:r>
        <w:rPr/>
      </w:r>
      <w:r>
        <w:rPr/>
        <w:fldChar w:fldCharType="separate"/>
      </w:r>
      <w:r>
        <w:rPr/>
      </w:r>
    </w:p>
    <w:p>
      <w:pPr>
        <w:pStyle w:val="Normal"/>
        <w:widowControl w:val="false"/>
        <w:spacing w:before="0" w:after="200"/>
        <w:jc w:val="center"/>
        <w:rPr/>
      </w:pPr>
      <w:r>
        <w:rPr/>
        <w:object w:dxaOrig="6524" w:dyaOrig="3556">
          <v:shape id="ole_rId5" style="width:308.75pt;height:178.4pt" o:ole="">
            <v:imagedata r:id="rId6" o:title=""/>
          </v:shape>
          <o:OLEObject Type="Embed" ProgID="Excel.Sheet.12" ShapeID="ole_rId5" DrawAspect="Content" ObjectID="_1200557630" r:id="rId5"/>
        </w:object>
      </w:r>
      <w:r>
        <w:rPr/>
      </w:r>
      <w:r>
        <w:rPr/>
        <w:fldChar w:fldCharType="end"/>
      </w:r>
    </w:p>
    <w:p>
      <w:pPr>
        <w:pStyle w:val="Normal"/>
        <w:spacing w:lineRule="auto" w:line="360"/>
        <w:jc w:val="both"/>
        <w:rPr/>
      </w:pPr>
      <w:r>
        <w:rPr>
          <w:rFonts w:eastAsia="Arial" w:cs="Arial" w:ascii="Arial" w:hAnsi="Arial"/>
        </w:rPr>
        <w:t>Di seguito è riportata una sintesi della situazione patrimoniale ed economica al 31.12.2022 con gli scostamenti rispetto all’esercizio 2021:</w:t>
      </w:r>
    </w:p>
    <w:p>
      <w:pPr>
        <w:pStyle w:val="Normal"/>
        <w:spacing w:lineRule="auto" w:line="360"/>
        <w:jc w:val="both"/>
        <w:rPr>
          <w:rFonts w:ascii="Arial" w:hAnsi="Arial" w:eastAsia="Arial" w:cs="Arial"/>
        </w:rPr>
      </w:pPr>
      <w:r>
        <w:rPr>
          <w:rFonts w:eastAsia="Arial" w:cs="Arial" w:ascii="Arial" w:hAnsi="Arial"/>
        </w:rPr>
      </w:r>
      <w:r>
        <w:br w:type="page"/>
      </w:r>
    </w:p>
    <w:p>
      <w:pPr>
        <w:pStyle w:val="Notaintegrativatabelle"/>
        <w:rPr/>
      </w:pPr>
      <w:r>
        <w:rPr>
          <w:bCs w:val="false"/>
        </w:rPr>
        <w:t xml:space="preserve">Tabella 1.b – </w:t>
      </w:r>
      <w:r>
        <w:rPr>
          <w:b w:val="false"/>
          <w:bCs w:val="false"/>
        </w:rPr>
        <w:t>Stato patrimoniale</w:t>
      </w:r>
    </w:p>
    <w:p>
      <w:pPr>
        <w:pStyle w:val="Notaintegrativatabelle"/>
        <w:jc w:val="center"/>
        <w:rPr>
          <w:rFonts w:cs="Arial"/>
          <w:bCs w:val="false"/>
        </w:rPr>
      </w:pPr>
      <w:r>
        <w:rPr/>
        <w:object w:dxaOrig="10240" w:dyaOrig="5888">
          <v:shape id="ole_rId7" style="width:478.7pt;height:280.2pt" o:ole="">
            <v:imagedata r:id="rId8" o:title=""/>
          </v:shape>
          <o:OLEObject Type="Embed" ProgID="Excel.Sheet.12" ShapeID="ole_rId7" DrawAspect="Content" ObjectID="_1564545860" r:id="rId7"/>
        </w:object>
      </w:r>
    </w:p>
    <w:p>
      <w:pPr>
        <w:pStyle w:val="Notaintegrativatabelle"/>
        <w:rPr/>
      </w:pPr>
      <w:r>
        <w:rPr>
          <w:rFonts w:cs="Arial"/>
          <w:bCs w:val="false"/>
        </w:rPr>
        <w:t xml:space="preserve"> </w:t>
      </w:r>
      <w:r>
        <w:rPr>
          <w:bCs w:val="false"/>
        </w:rPr>
        <w:t xml:space="preserve">Tabella 1.c – </w:t>
      </w:r>
      <w:r>
        <w:rPr>
          <w:b w:val="false"/>
          <w:bCs w:val="false"/>
        </w:rPr>
        <w:t>Conto economico</w:t>
      </w:r>
    </w:p>
    <w:p>
      <w:pPr>
        <w:pStyle w:val="Notaintegrativatabelle"/>
        <w:rPr>
          <w:rFonts w:cs="Arial"/>
          <w:lang w:eastAsia="it-IT"/>
        </w:rPr>
      </w:pPr>
      <w:r>
        <w:rPr/>
        <w:object w:dxaOrig="10240" w:dyaOrig="2560">
          <v:shape id="ole_rId9" style="width:480pt;height:115.45pt" o:ole="">
            <v:imagedata r:id="rId10" o:title=""/>
          </v:shape>
          <o:OLEObject Type="Embed" ProgID="Excel.Sheet.12" ShapeID="ole_rId9" DrawAspect="Content" ObjectID="_259555670" r:id="rId9"/>
        </w:object>
      </w:r>
    </w:p>
    <w:p>
      <w:pPr>
        <w:pStyle w:val="Normal"/>
        <w:spacing w:lineRule="auto" w:line="360"/>
        <w:jc w:val="both"/>
        <w:rPr>
          <w:rFonts w:ascii="Arial" w:hAnsi="Arial" w:eastAsia="Arial" w:cs="Arial"/>
          <w:b/>
          <w:b/>
          <w:bCs/>
          <w:lang w:eastAsia="it-IT"/>
        </w:rPr>
      </w:pPr>
      <w:r>
        <w:rPr>
          <w:rFonts w:eastAsia="Arial" w:cs="Arial" w:ascii="Arial" w:hAnsi="Arial"/>
          <w:b/>
          <w:bCs/>
          <w:lang w:eastAsia="it-IT"/>
        </w:rPr>
      </w:r>
    </w:p>
    <w:p>
      <w:pPr>
        <w:pStyle w:val="Normal"/>
        <w:spacing w:lineRule="auto" w:line="360"/>
        <w:jc w:val="both"/>
        <w:rPr/>
      </w:pPr>
      <w:r>
        <w:rPr>
          <w:rFonts w:eastAsia="Arial" w:cs="Arial" w:ascii="Arial" w:hAnsi="Arial"/>
        </w:rPr>
        <w:t xml:space="preserve">In primo luogo si evidenzia, rispetto al precedente esercizio, un aumento pari a € 74.940 del valore della produzione che passa da € </w:t>
      </w:r>
      <w:bookmarkStart w:id="2" w:name="_Hlk132100093"/>
      <w:r>
        <w:rPr>
          <w:rFonts w:eastAsia="Arial" w:cs="Arial" w:ascii="Arial" w:hAnsi="Arial"/>
        </w:rPr>
        <w:t xml:space="preserve">1.296.589 </w:t>
      </w:r>
      <w:bookmarkEnd w:id="2"/>
      <w:r>
        <w:rPr>
          <w:rFonts w:eastAsia="Arial" w:cs="Arial" w:ascii="Arial" w:hAnsi="Arial"/>
        </w:rPr>
        <w:t>a € 1.371.529, segnando un incremento di poco inferiore al 6% rispetto al 2021.</w:t>
      </w:r>
    </w:p>
    <w:p>
      <w:pPr>
        <w:pStyle w:val="Normal"/>
        <w:spacing w:lineRule="auto" w:line="360"/>
        <w:jc w:val="both"/>
        <w:rPr/>
      </w:pPr>
      <w:r>
        <w:rPr>
          <w:rFonts w:eastAsia="Arial" w:cs="Arial" w:ascii="Arial" w:hAnsi="Arial"/>
        </w:rPr>
        <w:t>Il 2022 ha registrato finalmente una continuità lavorativa che ha portato i risultati in argomento, pur dovendo evidenziare una faticosa e lenta ripresa delle attività produttive.</w:t>
      </w:r>
    </w:p>
    <w:p>
      <w:pPr>
        <w:pStyle w:val="Normal"/>
        <w:spacing w:lineRule="auto" w:line="360"/>
        <w:jc w:val="both"/>
        <w:rPr/>
      </w:pPr>
      <w:r>
        <w:rPr>
          <w:rFonts w:eastAsia="Arial" w:cs="Arial" w:ascii="Arial" w:hAnsi="Arial"/>
        </w:rPr>
        <w:t xml:space="preserve">Per quanto attiene alla gestione associativa, si segnala un importante aumento della produzione delle associazioni quasi del 3,6% rispetto al dato dell’esercizio precedente. Da segnalare, in aggiunta, da un punto di vista economico che i dati rilevati al 31/12/2021 evidenziano un incremento dei ricavi pari a € 74.940 rispetto all’anno precedente, dovuto anche alla tecnica dei risconti concernente le quote associative.   </w:t>
      </w:r>
    </w:p>
    <w:p>
      <w:pPr>
        <w:pStyle w:val="Normal"/>
        <w:spacing w:lineRule="auto" w:line="360"/>
        <w:jc w:val="both"/>
        <w:rPr/>
      </w:pPr>
      <w:r>
        <w:rPr>
          <w:rFonts w:eastAsia="Arial" w:cs="Arial" w:ascii="Arial" w:hAnsi="Arial"/>
        </w:rPr>
        <w:t>Sempre con riguardo all’analisi degli scostamenti relativi ai ricavi delle vendite e prestazioni di servizi si registra rispetto al 2021, inoltre:</w:t>
      </w:r>
    </w:p>
    <w:p>
      <w:pPr>
        <w:pStyle w:val="Normal"/>
        <w:spacing w:lineRule="auto" w:line="360"/>
        <w:jc w:val="both"/>
        <w:rPr/>
      </w:pPr>
      <w:r>
        <w:rPr>
          <w:rFonts w:eastAsia="Arial" w:cs="Arial" w:ascii="Arial" w:hAnsi="Arial"/>
        </w:rPr>
        <w:t>•</w:t>
      </w:r>
      <w:r>
        <w:rPr>
          <w:rFonts w:eastAsia="Arial" w:cs="Arial" w:ascii="Arial" w:hAnsi="Arial"/>
        </w:rPr>
        <w:tab/>
        <w:t>una leggera flessione dei Proventi per riscossione tasse che diminuiscono di € 2.062;</w:t>
      </w:r>
    </w:p>
    <w:p>
      <w:pPr>
        <w:pStyle w:val="Normal"/>
        <w:spacing w:lineRule="auto" w:line="360"/>
        <w:jc w:val="both"/>
        <w:rPr/>
      </w:pPr>
      <w:r>
        <w:rPr>
          <w:rFonts w:eastAsia="Arial" w:cs="Arial" w:ascii="Arial" w:hAnsi="Arial"/>
        </w:rPr>
        <w:t>•</w:t>
      </w:r>
      <w:r>
        <w:rPr>
          <w:rFonts w:eastAsia="Arial" w:cs="Arial" w:ascii="Arial" w:hAnsi="Arial"/>
        </w:rPr>
        <w:tab/>
        <w:t>un incremento dei Proventi per assistenza automobilistica pari a € 15.050;</w:t>
      </w:r>
    </w:p>
    <w:p>
      <w:pPr>
        <w:pStyle w:val="Normal"/>
        <w:spacing w:lineRule="auto" w:line="360"/>
        <w:jc w:val="both"/>
        <w:rPr/>
      </w:pPr>
      <w:r>
        <w:rPr>
          <w:rFonts w:eastAsia="Arial" w:cs="Arial" w:ascii="Arial" w:hAnsi="Arial"/>
        </w:rPr>
        <w:t>Per quanto attiene la gestione accessoria dei ricavi (voce A5), l’aumento di €. 31.472 rispetto al passato esercizio è dovuto principalmente alla vendita del distributore di carburanti di Forlì.</w:t>
      </w:r>
    </w:p>
    <w:p>
      <w:pPr>
        <w:pStyle w:val="Normal"/>
        <w:spacing w:lineRule="auto" w:line="360"/>
        <w:jc w:val="both"/>
        <w:rPr/>
      </w:pPr>
      <w:r>
        <w:rPr>
          <w:rFonts w:eastAsia="Arial" w:cs="Arial" w:ascii="Arial" w:hAnsi="Arial"/>
        </w:rPr>
        <w:t>A tali evidenze, si contrappone un incremento dei costi della produzione pari al 5%, con un aumento del risultato operativo lordo del 21% rispetto al 2021.</w:t>
      </w:r>
    </w:p>
    <w:p>
      <w:pPr>
        <w:pStyle w:val="Normal"/>
        <w:spacing w:lineRule="auto" w:line="360"/>
        <w:jc w:val="both"/>
        <w:rPr/>
      </w:pPr>
      <w:r>
        <w:rPr>
          <w:rFonts w:eastAsia="Arial" w:cs="Arial" w:ascii="Arial" w:hAnsi="Arial"/>
        </w:rPr>
        <w:t>I costi della produzione infatti ammontano a € 1.290.952 con un aumento di € 60.572 rispetto al 2021,aumento sensibilmente ridotto rispetto all’aumento registrato nell’anno precedente.</w:t>
      </w:r>
    </w:p>
    <w:p>
      <w:pPr>
        <w:pStyle w:val="Normal"/>
        <w:spacing w:lineRule="auto" w:line="360"/>
        <w:jc w:val="both"/>
        <w:rPr/>
      </w:pPr>
      <w:r>
        <w:rPr>
          <w:rFonts w:eastAsia="Arial" w:cs="Arial" w:ascii="Arial" w:hAnsi="Arial"/>
        </w:rPr>
        <w:t>L’Ente è determinato ad operare una riduzione dei costi continua nel tempo e non episodica, che interessa tutte le tipologie di oneri e che denota il costante impegno ad operare con interventi strutturali finalizzati ad incidere, in maniera significativa, sull’economicità della gestione al fine di garantire una consistenza patrimoniale ottimale, considerata tale quando il rapporto tra il patrimonio netto e il totale dell’attivo è maggiore del 15 %. Con il risultato economico dell’esercizio in esame tale rapporto è pari al 23,58%, ovvero 8.58 punti percentuali in più rispetto al target di riferimento.</w:t>
      </w:r>
    </w:p>
    <w:p>
      <w:pPr>
        <w:pStyle w:val="Normal"/>
        <w:spacing w:lineRule="auto" w:line="360"/>
        <w:jc w:val="both"/>
        <w:rPr/>
      </w:pPr>
      <w:r>
        <w:rPr>
          <w:rFonts w:eastAsia="Arial" w:cs="Arial" w:ascii="Arial" w:hAnsi="Arial"/>
        </w:rPr>
        <w:t>La gestione finanziaria presenta un leggero decremento rispetto al 2021 pari ad € 359.</w:t>
      </w:r>
    </w:p>
    <w:p>
      <w:pPr>
        <w:pStyle w:val="Normal"/>
        <w:spacing w:lineRule="auto" w:line="360"/>
        <w:jc w:val="both"/>
        <w:rPr/>
      </w:pPr>
      <w:r>
        <w:rPr>
          <w:rFonts w:eastAsia="Arial" w:cs="Arial" w:ascii="Arial" w:hAnsi="Arial"/>
        </w:rPr>
        <w:t>Le imposte a carico dell’esercizio ammontano a €. 2.018 contro € 2.828 del 2021.</w:t>
      </w:r>
    </w:p>
    <w:p>
      <w:pPr>
        <w:pStyle w:val="Titolo1"/>
        <w:spacing w:lineRule="auto" w:line="360" w:before="0" w:after="0"/>
        <w:jc w:val="both"/>
        <w:rPr>
          <w:kern w:val="0"/>
          <w:sz w:val="24"/>
          <w:szCs w:val="24"/>
        </w:rPr>
      </w:pPr>
      <w:r>
        <w:rPr>
          <w:kern w:val="0"/>
          <w:sz w:val="24"/>
          <w:szCs w:val="24"/>
        </w:rPr>
      </w:r>
    </w:p>
    <w:p>
      <w:pPr>
        <w:pStyle w:val="Titolo1"/>
        <w:rPr/>
      </w:pPr>
      <w:bookmarkStart w:id="3" w:name="_Toc132099806"/>
      <w:r>
        <w:rPr/>
        <w:t>2. ANALISI DEGLI SCOSTAMENTI RISPETTO AL BUDGET</w:t>
      </w:r>
      <w:bookmarkEnd w:id="3"/>
    </w:p>
    <w:p>
      <w:pPr>
        <w:pStyle w:val="Titolo2"/>
        <w:numPr>
          <w:ilvl w:val="0"/>
          <w:numId w:val="1"/>
        </w:numPr>
        <w:spacing w:lineRule="auto" w:line="480" w:before="0" w:after="0"/>
        <w:jc w:val="both"/>
        <w:rPr/>
      </w:pPr>
      <w:bookmarkStart w:id="4" w:name="_Toc132099807"/>
      <w:r>
        <w:rPr/>
        <w:t>2.1 RAFFRONTO CON IL BUDGET ECONOMICO</w:t>
      </w:r>
      <w:bookmarkEnd w:id="4"/>
    </w:p>
    <w:p>
      <w:pPr>
        <w:pStyle w:val="Normal"/>
        <w:spacing w:lineRule="auto" w:line="360"/>
        <w:jc w:val="both"/>
        <w:rPr/>
      </w:pPr>
      <w:r>
        <w:rPr>
          <w:rFonts w:eastAsia="Arial" w:cs="Arial" w:ascii="Arial" w:hAnsi="Arial"/>
        </w:rPr>
        <w:t>La variazione al budget economico 2022, effettuata durante l’anno e sintetizzata nella tabella 2.1, è stata deliberata dal Consiglio direttivo dell’Ente nella seduta del 31/10/2022.</w:t>
      </w:r>
    </w:p>
    <w:p>
      <w:pPr>
        <w:pStyle w:val="Normal"/>
        <w:spacing w:lineRule="auto" w:line="360"/>
        <w:jc w:val="both"/>
        <w:rPr>
          <w:rFonts w:ascii="Arial" w:hAnsi="Arial" w:eastAsia="Arial" w:cs="Arial"/>
        </w:rPr>
      </w:pPr>
      <w:r>
        <w:rPr>
          <w:rFonts w:eastAsia="Arial" w:cs="Arial" w:ascii="Arial" w:hAnsi="Arial"/>
        </w:rPr>
      </w:r>
    </w:p>
    <w:p>
      <w:pPr>
        <w:pStyle w:val="Normal"/>
        <w:spacing w:lineRule="auto" w:line="360"/>
        <w:jc w:val="both"/>
        <w:rPr/>
      </w:pPr>
      <w:r>
        <w:rPr>
          <w:rFonts w:eastAsia="Arial" w:cs="Arial" w:ascii="Arial" w:hAnsi="Arial"/>
        </w:rPr>
        <w:t xml:space="preserve">Nella medesima tabella, per ciascun conto, il valore della previsione definitiva contenuto nel budget economico viene posto a raffronto con quello rappresentato, a consuntivo, nel conto economico; ciò al fine di attestare, mediante l’evidenza degli scostamenti, la regolarità della gestione rispetto al vincolo autorizzativo definito nel budget. </w:t>
      </w:r>
    </w:p>
    <w:p>
      <w:pPr>
        <w:pStyle w:val="Normal"/>
        <w:spacing w:lineRule="auto" w:line="360"/>
        <w:jc w:val="both"/>
        <w:rPr>
          <w:rFonts w:ascii="Arial" w:hAnsi="Arial" w:eastAsia="Arial" w:cs="Arial"/>
        </w:rPr>
      </w:pPr>
      <w:r>
        <w:rPr>
          <w:rFonts w:eastAsia="Arial" w:cs="Arial" w:ascii="Arial" w:hAnsi="Arial"/>
        </w:rPr>
      </w:r>
      <w:r>
        <w:br w:type="page"/>
      </w:r>
    </w:p>
    <w:p>
      <w:pPr>
        <w:pStyle w:val="Notaintegrativatabelle"/>
        <w:rPr/>
      </w:pPr>
      <w:r>
        <w:rPr>
          <w:bCs w:val="false"/>
        </w:rPr>
        <w:t xml:space="preserve">Tabella 2.1 – </w:t>
      </w:r>
      <w:r>
        <w:rPr>
          <w:b w:val="false"/>
          <w:bCs w:val="false"/>
        </w:rPr>
        <w:t>Sintesi dei provvedimenti di rimodulazione e raffronto con il budget economico</w:t>
      </w:r>
    </w:p>
    <w:p>
      <w:pPr>
        <w:pStyle w:val="Notaintegrativatabelle"/>
        <w:jc w:val="center"/>
        <w:rPr>
          <w:b w:val="false"/>
          <w:b w:val="false"/>
          <w:bCs w:val="false"/>
          <w:kern w:val="0"/>
          <w:sz w:val="24"/>
        </w:rPr>
      </w:pPr>
      <w:r>
        <w:rPr/>
        <w:object w:dxaOrig="14080" w:dyaOrig="9217">
          <v:shape id="ole_rId11" style="width:481.3pt;height:302.9pt" o:ole="">
            <v:imagedata r:id="rId12" o:title=""/>
          </v:shape>
          <o:OLEObject Type="Embed" ProgID="Excel.Sheet.12" ShapeID="ole_rId11" DrawAspect="Content" ObjectID="_1994321619" r:id="rId11"/>
        </w:object>
      </w:r>
    </w:p>
    <w:p>
      <w:pPr>
        <w:pStyle w:val="Notaintegrativatabelle"/>
        <w:rPr/>
      </w:pPr>
      <w:r>
        <w:rPr>
          <w:b w:val="false"/>
          <w:bCs w:val="false"/>
          <w:kern w:val="0"/>
          <w:sz w:val="24"/>
        </w:rPr>
        <w:t xml:space="preserve">Dall’analisi sugli scostamenti tra il Budget assestato e il Conto Economico 2022 si evidenzia un utile di esercizio pari a € 80.449, con un decremento di € 5.808 rispetto a quello previsto nel Budget economico assestato. </w:t>
      </w:r>
    </w:p>
    <w:p>
      <w:pPr>
        <w:pStyle w:val="Normal"/>
        <w:spacing w:lineRule="auto" w:line="360"/>
        <w:jc w:val="both"/>
        <w:rPr/>
      </w:pPr>
      <w:r>
        <w:rPr>
          <w:rFonts w:eastAsia="Arial" w:cs="Arial" w:ascii="Arial" w:hAnsi="Arial"/>
        </w:rPr>
        <w:t>Occorre, infatti, considerare che a fronte di un aumento del valore della produzione di € 5.051 rispetto alla previsione, l’Ente ha registrato un incremento dei costi della produzione pari ad € 19.143 rispetto alla previsione assestata. Si evidenzia uno sforamento di €. 24.646 della voce di bilancio B7 rispetto allo stanziamento assestato. Tali maggiori costi sono imputabili ai maggiori compensi legati al raggiungimento di obiettivi prefissati riconosciuti alla Società dell’Ente in base alla convenzione in essere. Il predetto importo è stato calcolato e riconosciuto alla società quando i termini per una seconda rimodulazione di budget erano già scaduti. Una parte consistente degli obiettivi in questione è legata infatti alla produzione associativa e il consolidamento del portafoglio associativo non può che avvenire nel mese di gennaio dell’anno successivo. In ogni caso la maggiore spesa non ha influito sul risultato economico poiché coperta totalmente dalle maggiori entrate registrate.</w:t>
      </w:r>
    </w:p>
    <w:p>
      <w:pPr>
        <w:pStyle w:val="Normal"/>
        <w:spacing w:lineRule="auto" w:line="360"/>
        <w:jc w:val="both"/>
        <w:rPr/>
      </w:pPr>
      <w:r>
        <w:rPr/>
      </w:r>
    </w:p>
    <w:p>
      <w:pPr>
        <w:pStyle w:val="Normal"/>
        <w:spacing w:lineRule="auto" w:line="360"/>
        <w:jc w:val="both"/>
        <w:rPr>
          <w:rFonts w:ascii="Arial" w:hAnsi="Arial" w:eastAsia="Arial" w:cs="Arial"/>
        </w:rPr>
      </w:pPr>
      <w:r>
        <w:rPr>
          <w:rFonts w:eastAsia="Arial" w:cs="Arial" w:ascii="Arial" w:hAnsi="Arial"/>
        </w:rPr>
      </w:r>
    </w:p>
    <w:p>
      <w:pPr>
        <w:pStyle w:val="Titolo2"/>
        <w:numPr>
          <w:ilvl w:val="0"/>
          <w:numId w:val="1"/>
        </w:numPr>
        <w:spacing w:lineRule="auto" w:line="480" w:before="0" w:after="0"/>
        <w:jc w:val="both"/>
        <w:rPr/>
      </w:pPr>
      <w:bookmarkStart w:id="5" w:name="_Toc132099808"/>
      <w:r>
        <w:rPr/>
        <w:t>2.2 RAFFRONTO CON IL BUDGET DEGLI INVESTIMENTI / DISMISSIONI</w:t>
      </w:r>
      <w:bookmarkEnd w:id="5"/>
    </w:p>
    <w:p>
      <w:pPr>
        <w:pStyle w:val="Corpodeltesto21"/>
        <w:spacing w:lineRule="auto" w:line="360"/>
        <w:rPr>
          <w:bCs w:val="false"/>
          <w:lang w:eastAsia="zh-CN"/>
        </w:rPr>
      </w:pPr>
      <w:r>
        <w:rPr>
          <w:bCs w:val="false"/>
          <w:lang w:eastAsia="zh-CN"/>
        </w:rPr>
        <w:t>E’ intervenuto nel corso del 2022 un intervento di rimodulazione al budget degli investimenti / dismissioni.</w:t>
      </w:r>
    </w:p>
    <w:p>
      <w:pPr>
        <w:pStyle w:val="Normal"/>
        <w:spacing w:lineRule="auto" w:line="360"/>
        <w:jc w:val="both"/>
        <w:rPr>
          <w:rFonts w:ascii="Arial" w:hAnsi="Arial" w:eastAsia="Arial" w:cs="Arial"/>
        </w:rPr>
      </w:pPr>
      <w:r>
        <w:rPr>
          <w:rFonts w:eastAsia="Arial" w:cs="Arial" w:ascii="Arial" w:hAnsi="Arial"/>
        </w:rPr>
      </w:r>
    </w:p>
    <w:p>
      <w:pPr>
        <w:pStyle w:val="Normal"/>
        <w:spacing w:lineRule="auto" w:line="360"/>
        <w:jc w:val="both"/>
        <w:rPr>
          <w:rFonts w:ascii="Arial" w:hAnsi="Arial" w:eastAsia="Arial" w:cs="Arial"/>
        </w:rPr>
      </w:pPr>
      <w:r>
        <w:rPr>
          <w:rFonts w:eastAsia="Arial" w:cs="Arial" w:ascii="Arial" w:hAnsi="Arial"/>
        </w:rPr>
        <w:t xml:space="preserve">Nella medesima tabella, per ciascun conto, il valore della previsione definitiva contenuto nel budget degli investimenti / dismissioni, viene posto a raffronto con quello rilevato a consuntivo; ciò al fine di attestare, mediante l’evidenza degli scostamenti, la regolarità della gestione rispetto al vincolo autorizzativo del budget. </w:t>
      </w:r>
    </w:p>
    <w:p>
      <w:pPr>
        <w:pStyle w:val="Normal"/>
        <w:spacing w:lineRule="auto" w:line="360"/>
        <w:jc w:val="both"/>
        <w:rPr>
          <w:rFonts w:ascii="Arial" w:hAnsi="Arial" w:eastAsia="Arial" w:cs="Arial"/>
        </w:rPr>
      </w:pPr>
      <w:r>
        <w:rPr>
          <w:rFonts w:eastAsia="Arial" w:cs="Arial" w:ascii="Arial" w:hAnsi="Arial"/>
        </w:rPr>
      </w:r>
    </w:p>
    <w:p>
      <w:pPr>
        <w:pStyle w:val="Normal"/>
        <w:shd w:val="clear" w:color="auto" w:fill="FFFFFF" w:themeFill="background1"/>
        <w:spacing w:lineRule="auto" w:line="360"/>
        <w:jc w:val="both"/>
        <w:rPr>
          <w:rFonts w:ascii="Arial" w:hAnsi="Arial" w:eastAsia="Arial" w:cs="Arial"/>
        </w:rPr>
      </w:pPr>
      <w:r>
        <w:rPr>
          <w:rFonts w:eastAsia="Arial" w:cs="Arial" w:ascii="Arial" w:hAnsi="Arial"/>
        </w:rPr>
        <w:t xml:space="preserve">Al riguardo è utile specificare che il budget degli investimenti / dismissioni considera tutte le voci delle immobilizzazioni, salvo i crediti delle immobilizzazioni finanziarie che restano, pertanto, esclusi dal vincolo autorizzativo.  </w:t>
      </w:r>
    </w:p>
    <w:p>
      <w:pPr>
        <w:pStyle w:val="Notaintegrativatabelle"/>
        <w:rPr>
          <w:bCs w:val="false"/>
        </w:rPr>
      </w:pPr>
      <w:r>
        <w:rPr>
          <w:bCs w:val="false"/>
        </w:rPr>
      </w:r>
    </w:p>
    <w:p>
      <w:pPr>
        <w:pStyle w:val="Notaintegrativatabelle"/>
        <w:rPr/>
      </w:pPr>
      <w:r>
        <w:rPr>
          <w:bCs w:val="false"/>
        </w:rPr>
        <w:t xml:space="preserve">Tabella 2.2 – </w:t>
      </w:r>
      <w:r>
        <w:rPr>
          <w:b w:val="false"/>
          <w:bCs w:val="false"/>
        </w:rPr>
        <w:t>Sintesi dei provvedimenti di rimodulazione e raffronto con il budget degli investimenti / dismissioni</w:t>
      </w:r>
    </w:p>
    <w:p>
      <w:pPr>
        <w:pStyle w:val="Notaintegrativatabelle"/>
        <w:jc w:val="center"/>
        <w:rPr>
          <w:b w:val="false"/>
          <w:b w:val="false"/>
          <w:bCs w:val="false"/>
          <w:kern w:val="0"/>
          <w:sz w:val="24"/>
        </w:rPr>
      </w:pPr>
      <w:r>
        <w:rPr/>
        <w:object w:dxaOrig="15360" w:dyaOrig="9217">
          <v:shape id="ole_rId13" style="width:468.3pt;height:288pt" o:ole="">
            <v:imagedata r:id="rId14" o:title=""/>
          </v:shape>
          <o:OLEObject Type="Embed" ProgID="Excel.Sheet.12" ShapeID="ole_rId13" DrawAspect="Content" ObjectID="_633595246" r:id="rId13"/>
        </w:object>
      </w:r>
    </w:p>
    <w:p>
      <w:pPr>
        <w:pStyle w:val="Notaintegrativatabelle"/>
        <w:rPr>
          <w:b w:val="false"/>
          <w:b w:val="false"/>
          <w:bCs w:val="false"/>
          <w:kern w:val="0"/>
          <w:sz w:val="24"/>
        </w:rPr>
      </w:pPr>
      <w:r>
        <w:rPr>
          <w:b w:val="false"/>
          <w:bCs w:val="false"/>
          <w:kern w:val="0"/>
          <w:sz w:val="24"/>
        </w:rPr>
      </w:r>
      <w:r>
        <w:br w:type="page"/>
      </w:r>
    </w:p>
    <w:p>
      <w:pPr>
        <w:pStyle w:val="Titolo1"/>
        <w:spacing w:lineRule="auto" w:line="360" w:before="0" w:after="0"/>
        <w:jc w:val="both"/>
        <w:rPr/>
      </w:pPr>
      <w:bookmarkStart w:id="6" w:name="_Toc132099809"/>
      <w:r>
        <w:rPr/>
        <w:t>3. ANALISI DELL’ANDAMENTO DELLA GESTIONE</w:t>
      </w:r>
      <w:bookmarkEnd w:id="6"/>
    </w:p>
    <w:p>
      <w:pPr>
        <w:pStyle w:val="Normal"/>
        <w:spacing w:lineRule="auto" w:line="360"/>
        <w:jc w:val="both"/>
        <w:rPr/>
      </w:pPr>
      <w:r>
        <w:rPr>
          <w:rFonts w:eastAsia="Arial" w:cs="Arial" w:ascii="Arial" w:hAnsi="Arial"/>
        </w:rPr>
        <w:t>L’Automobile Club Forlì nel corso dell’anno 2022 ha operato avvalendosi della propria società in house Aci Service Forlì Srl, con la collaborazione di 11 delegazioni e attraverso le agenzie Sara Assicurazioni di Forlì, Cesena e Cesenatico.</w:t>
      </w:r>
    </w:p>
    <w:p>
      <w:pPr>
        <w:pStyle w:val="Normal"/>
        <w:spacing w:lineRule="auto" w:line="360"/>
        <w:jc w:val="both"/>
        <w:rPr/>
      </w:pPr>
      <w:r>
        <w:rPr>
          <w:rFonts w:eastAsia="Arial" w:cs="Arial" w:ascii="Arial" w:hAnsi="Arial"/>
        </w:rPr>
        <w:t xml:space="preserve">I servizi svolti dalla società in house sono stati conferiti nel pieno rispetto dei dettami previsti   dal d.lgs. 175/2016 e successive modifiche d.lgs. 100/2017 con apposite convenzioni e hanno riguardato in particolare la gestione dei servizi di sede, soci, tasse auto e pratiche automobilistiche; </w:t>
      </w:r>
    </w:p>
    <w:p>
      <w:pPr>
        <w:pStyle w:val="Normal"/>
        <w:spacing w:lineRule="auto" w:line="360"/>
        <w:jc w:val="both"/>
        <w:rPr/>
      </w:pPr>
      <w:r>
        <w:rPr>
          <w:rFonts w:eastAsia="Arial" w:cs="Arial" w:ascii="Arial" w:hAnsi="Arial"/>
        </w:rPr>
        <w:t>Tutti i servizi a favore dei soci sono stati confermati; per la fidelizzazione della tessera associativa è stato promosso e consolidato il servizio gratuito di bollo sereno. Si sono particolarmente curati i rapporti con associazioni, Enti ed esercizi commerciali per offrire motivi in più di adesione all’ACI, promuovendo le convenzioni nazionali e provinciali.</w:t>
      </w:r>
    </w:p>
    <w:p>
      <w:pPr>
        <w:pStyle w:val="Normal"/>
        <w:spacing w:lineRule="auto" w:line="360"/>
        <w:jc w:val="both"/>
        <w:rPr/>
      </w:pPr>
      <w:r>
        <w:rPr>
          <w:rFonts w:eastAsia="Arial" w:cs="Arial" w:ascii="Arial" w:hAnsi="Arial"/>
        </w:rPr>
        <w:t>Nel corso dell’anno si è lavorato costantemente con l’ufficio soci di sede e la rete delegazioni, formando e motivando i delegati con riunioni periodiche e videoconferenze a cadenza bimestrale, stimolandoli alla produzione associativa anche da remoto soprattutto dei prodotti qualificati ACI GOLD, ACI SISTEMA e ACI STORICO e alla produzione di contratti di bollo sereno.</w:t>
      </w:r>
    </w:p>
    <w:p>
      <w:pPr>
        <w:pStyle w:val="Normal"/>
        <w:spacing w:lineRule="auto" w:line="360"/>
        <w:jc w:val="both"/>
        <w:rPr/>
      </w:pPr>
      <w:r>
        <w:rPr>
          <w:rFonts w:eastAsia="Arial" w:cs="Arial" w:ascii="Arial" w:hAnsi="Arial"/>
        </w:rPr>
        <w:t xml:space="preserve">L’anno 2022, ha fatto registrare la ripresa del portafoglio associativo, ripristinando la positiva tendenza registrata negli anni scorsi e arrestatasi soltanto nel 2020 a causa del COVID. </w:t>
      </w:r>
    </w:p>
    <w:p>
      <w:pPr>
        <w:pStyle w:val="Normal"/>
        <w:spacing w:lineRule="auto" w:line="360"/>
        <w:jc w:val="both"/>
        <w:rPr/>
      </w:pPr>
      <w:r>
        <w:rPr>
          <w:rFonts w:eastAsia="Arial" w:cs="Arial" w:ascii="Arial" w:hAnsi="Arial"/>
        </w:rPr>
        <w:t xml:space="preserve">Il 2022 si è chiuso con n. 12.226 associazioni, registrando + 281 soci rispetto all’anno 2021, con un incremento in percentuale pari allo 2,4%. </w:t>
      </w:r>
    </w:p>
    <w:p>
      <w:pPr>
        <w:pStyle w:val="Normal"/>
        <w:spacing w:lineRule="auto" w:line="360"/>
        <w:jc w:val="both"/>
        <w:rPr/>
      </w:pPr>
      <w:r>
        <w:rPr>
          <w:rFonts w:eastAsia="Arial" w:cs="Arial" w:ascii="Arial" w:hAnsi="Arial"/>
        </w:rPr>
        <w:t xml:space="preserve">L’incremento associativo registrato non ha inficiato la qualità del portafoglio associativo, che continua ad essere molto equilibrato nei suoi prodotti, evidenziando che l’aumento della compagine associativa non è avvenuto a discapito dei prodotti di punta dell’offerta commerciale.   </w:t>
      </w:r>
    </w:p>
    <w:p>
      <w:pPr>
        <w:pStyle w:val="Normal"/>
        <w:spacing w:lineRule="auto" w:line="360"/>
        <w:jc w:val="both"/>
        <w:rPr/>
      </w:pPr>
      <w:r>
        <w:rPr>
          <w:rFonts w:eastAsia="Arial" w:cs="Arial" w:ascii="Arial" w:hAnsi="Arial"/>
        </w:rPr>
        <w:t xml:space="preserve">Il risultato conseguito ha consentito all’Ente di essere tra gli ’Automobile Club più performanti dell’Emilia Romagna e di accedere al riconoscimento da parte di A.C.I. di un incentivo di € 30. 249 erogato nel corso dell’anno.   </w:t>
      </w:r>
    </w:p>
    <w:p>
      <w:pPr>
        <w:pStyle w:val="Normal"/>
        <w:spacing w:lineRule="auto" w:line="360"/>
        <w:jc w:val="both"/>
        <w:rPr/>
      </w:pPr>
      <w:r>
        <w:rPr>
          <w:rFonts w:eastAsia="Arial" w:cs="Arial" w:ascii="Arial" w:hAnsi="Arial"/>
        </w:rPr>
        <w:t xml:space="preserve">Il servizio pratiche automobilistiche ha fatto registrare un aumento dei ricavi di quasi il 5%. Il risultato importantissimo è dovuto alla continuità del lavoro svolto nel corso dell’anno, che ha comunque fatto registrare criticità evidenti nel settore di riferimento, dovute ad una ripresa economica probabilmente più lenta di quella prevista. </w:t>
      </w:r>
    </w:p>
    <w:p>
      <w:pPr>
        <w:pStyle w:val="Normal"/>
        <w:spacing w:lineRule="auto" w:line="360"/>
        <w:jc w:val="both"/>
        <w:rPr/>
      </w:pPr>
      <w:r>
        <w:rPr>
          <w:rFonts w:eastAsia="Arial" w:cs="Arial" w:ascii="Arial" w:hAnsi="Arial"/>
        </w:rPr>
        <w:t>Il servizio tasse automobilistiche ha registrato una sostanziale e generale tenuta delle attività.</w:t>
      </w:r>
    </w:p>
    <w:p>
      <w:pPr>
        <w:pStyle w:val="Normal"/>
        <w:spacing w:lineRule="auto" w:line="360"/>
        <w:jc w:val="both"/>
        <w:rPr/>
      </w:pPr>
      <w:r>
        <w:rPr>
          <w:rFonts w:eastAsia="Arial" w:cs="Arial" w:ascii="Arial" w:hAnsi="Arial"/>
        </w:rPr>
        <w:t>Da segnalare la perdita registrata nel portafoglio assicurativo pari a circa il 9%, imputabile probabilmente ad una cattiva gestione, evidenziata e risolta.</w:t>
      </w:r>
    </w:p>
    <w:p>
      <w:pPr>
        <w:pStyle w:val="Normal"/>
        <w:spacing w:lineRule="auto" w:line="360"/>
        <w:jc w:val="both"/>
        <w:rPr/>
      </w:pPr>
      <w:r>
        <w:rPr>
          <w:rFonts w:eastAsia="Arial" w:cs="Arial" w:ascii="Arial" w:hAnsi="Arial"/>
        </w:rPr>
        <w:t>Sul piano dell’organizzazione interna degli uffici, si è perseguita la cultura dell’orientamento al cliente favorendo una flessibilità dei servizi con una ampia apertura degli uffici dal lunedì al venerdì.</w:t>
      </w:r>
    </w:p>
    <w:p>
      <w:pPr>
        <w:pStyle w:val="Titolo1"/>
        <w:rPr/>
      </w:pPr>
      <w:bookmarkStart w:id="7" w:name="_Toc132099810"/>
      <w:r>
        <w:rPr/>
        <w:t>4. ANDAMENTO DELLA SITUAZIONE PATRIMONIALE, FINANZIARIA ED ECONOMICA</w:t>
      </w:r>
      <w:bookmarkEnd w:id="7"/>
    </w:p>
    <w:p>
      <w:pPr>
        <w:pStyle w:val="Normal"/>
        <w:spacing w:lineRule="auto" w:line="360"/>
        <w:jc w:val="both"/>
        <w:rPr/>
      </w:pPr>
      <w:r>
        <w:rPr>
          <w:rFonts w:eastAsia="Arial" w:cs="Arial" w:ascii="Arial" w:hAnsi="Arial"/>
        </w:rPr>
        <w:t>Si riportano di seguito alcune tabelle di sintesi che riclassificano lo stato patrimoniale ed il conto economico per consentire una corretta valutazione dell’andamento patrimoniale e finanziario, nonché del risultato economico di esercizio.</w:t>
      </w:r>
    </w:p>
    <w:p>
      <w:pPr>
        <w:pStyle w:val="Normal"/>
        <w:spacing w:lineRule="auto" w:line="360"/>
        <w:jc w:val="both"/>
        <w:rPr>
          <w:rFonts w:ascii="Arial" w:hAnsi="Arial" w:eastAsia="Arial" w:cs="Arial"/>
        </w:rPr>
      </w:pPr>
      <w:r>
        <w:rPr>
          <w:rFonts w:eastAsia="Arial" w:cs="Arial" w:ascii="Arial" w:hAnsi="Arial"/>
        </w:rPr>
      </w:r>
    </w:p>
    <w:p>
      <w:pPr>
        <w:pStyle w:val="Titolo2"/>
        <w:numPr>
          <w:ilvl w:val="0"/>
          <w:numId w:val="1"/>
        </w:numPr>
        <w:spacing w:lineRule="auto" w:line="480" w:before="0" w:after="0"/>
        <w:jc w:val="both"/>
        <w:rPr/>
      </w:pPr>
      <w:bookmarkStart w:id="8" w:name="_Toc132099811"/>
      <w:r>
        <w:rPr/>
        <w:t>4.1 SITUAZIONE PATRIMONIALE</w:t>
      </w:r>
      <w:bookmarkEnd w:id="8"/>
    </w:p>
    <w:p>
      <w:pPr>
        <w:pStyle w:val="Normal"/>
        <w:spacing w:lineRule="auto" w:line="360"/>
        <w:jc w:val="both"/>
        <w:rPr/>
      </w:pPr>
      <w:r>
        <w:rPr>
          <w:rFonts w:eastAsia="Arial" w:cs="Arial" w:ascii="Arial" w:hAnsi="Arial"/>
        </w:rPr>
        <w:t>Nella tabella che segue è riportato lo stato patrimoniale riclassificato secondo destinazione e grado di smobilizzo, confrontato con quello dell’esercizio precedente.</w:t>
      </w:r>
    </w:p>
    <w:p>
      <w:pPr>
        <w:pStyle w:val="Normal"/>
        <w:spacing w:lineRule="auto" w:line="360"/>
        <w:jc w:val="both"/>
        <w:rPr>
          <w:rFonts w:ascii="Arial" w:hAnsi="Arial" w:eastAsia="Arial" w:cs="Arial"/>
        </w:rPr>
      </w:pPr>
      <w:r>
        <w:rPr>
          <w:rFonts w:eastAsia="Arial" w:cs="Arial" w:ascii="Arial" w:hAnsi="Arial"/>
        </w:rPr>
      </w:r>
    </w:p>
    <w:p>
      <w:pPr>
        <w:pStyle w:val="Notaintegrativatabelle"/>
        <w:rPr/>
      </w:pPr>
      <w:r>
        <w:rPr>
          <w:bCs w:val="false"/>
        </w:rPr>
        <w:t xml:space="preserve">Tabella 4.1.a </w:t>
      </w:r>
      <w:r>
        <w:rPr>
          <w:b w:val="false"/>
        </w:rPr>
        <w:t>– Stato patrimoniale riclassificato secondo il grado di smobilizzo</w:t>
      </w:r>
    </w:p>
    <w:p>
      <w:pPr>
        <w:pStyle w:val="Notaintegrativatabelle"/>
        <w:jc w:val="center"/>
        <w:rPr>
          <w:rFonts w:cs="Arial"/>
          <w:kern w:val="0"/>
        </w:rPr>
      </w:pPr>
      <w:r>
        <w:rPr/>
        <w:object w:dxaOrig="8960" w:dyaOrig="8192">
          <v:shape id="ole_rId15" style="width:385.3pt;height:360pt" o:ole="">
            <v:imagedata r:id="rId16" o:title=""/>
          </v:shape>
          <o:OLEObject Type="Embed" ProgID="Excel.Sheet.12" ShapeID="ole_rId15" DrawAspect="Content" ObjectID="_2127829071" r:id="rId15"/>
        </w:object>
      </w:r>
    </w:p>
    <w:p>
      <w:pPr>
        <w:pStyle w:val="Normal"/>
        <w:spacing w:lineRule="auto" w:line="360"/>
        <w:jc w:val="both"/>
        <w:rPr>
          <w:rFonts w:ascii="Arial" w:hAnsi="Arial" w:eastAsia="Arial" w:cs="Arial"/>
          <w:b/>
          <w:b/>
          <w:kern w:val="0"/>
        </w:rPr>
      </w:pPr>
      <w:r>
        <w:rPr>
          <w:rFonts w:eastAsia="Arial" w:cs="Arial" w:ascii="Arial" w:hAnsi="Arial"/>
          <w:b/>
          <w:kern w:val="0"/>
        </w:rPr>
      </w:r>
    </w:p>
    <w:p>
      <w:pPr>
        <w:pStyle w:val="Notaintegrativatabelle"/>
        <w:shd w:val="clear" w:color="auto" w:fill="FFFFFF"/>
        <w:rPr/>
      </w:pPr>
      <w:r>
        <w:rPr>
          <w:rFonts w:cs="Arial"/>
          <w:b w:val="false"/>
          <w:bCs w:val="false"/>
          <w:kern w:val="0"/>
          <w:sz w:val="24"/>
        </w:rPr>
        <w:t>L’incremento di €. 65.642 delle attività fisse rispetto all’esercizio precedente è determinato dall’effetto combinato dell’acquisto di nuovi cespiti al quale si contrappongono le quote annuali di ammortamenti.</w:t>
      </w:r>
    </w:p>
    <w:p>
      <w:pPr>
        <w:pStyle w:val="Notaintegrativatabelle"/>
        <w:shd w:val="clear" w:color="auto" w:fill="FFFFFF"/>
        <w:rPr/>
      </w:pPr>
      <w:r>
        <w:rPr>
          <w:rFonts w:cs="Arial"/>
          <w:b w:val="false"/>
          <w:bCs w:val="false"/>
          <w:kern w:val="0"/>
          <w:sz w:val="24"/>
        </w:rPr>
        <w:t>L’aumento netto delle attività correnti rispetto al 2021 pari ad euro 79.996, è da ricondurre principalmente all’aumento generalizzato dei crediti verso i clienti, verso ACI e tributari. Si riscontra, inoltre, una diminuzione delle disponibilità liquide. I risconti attivi risultano in aumento rispetto al 2021 per effetto dei costi sostenuti nell’anno ma da rimandare all’esercizio 2023 per il rispetto del principio della competenza economica.</w:t>
      </w:r>
    </w:p>
    <w:p>
      <w:pPr>
        <w:pStyle w:val="Notaintegrativatabelle"/>
        <w:shd w:val="clear" w:color="auto" w:fill="FFFFFF"/>
        <w:rPr/>
      </w:pPr>
      <w:r>
        <w:rPr>
          <w:rFonts w:cs="Arial"/>
          <w:b w:val="false"/>
          <w:bCs w:val="false"/>
          <w:kern w:val="0"/>
          <w:sz w:val="24"/>
        </w:rPr>
        <w:t xml:space="preserve">L’incremento netto delle passività correnti, pari a €. 65.508 è da attribuire essenzialmente ad una diminuzione dei debiti verso i fornitori e verso altri debiti a breve, a fronte dei quali si contrappone un aumento dei debiti verso la controllata e verso i debiti tributari e previdenziali. </w:t>
      </w:r>
    </w:p>
    <w:p>
      <w:pPr>
        <w:pStyle w:val="Notaintegrativatabelle"/>
        <w:shd w:val="clear" w:color="auto" w:fill="FFFFFF"/>
        <w:rPr/>
      </w:pPr>
      <w:r>
        <w:rPr>
          <w:rFonts w:cs="Arial"/>
          <w:b w:val="false"/>
          <w:bCs w:val="false"/>
          <w:kern w:val="0"/>
          <w:sz w:val="24"/>
        </w:rPr>
        <w:t>I risconti passivi sono in aumento di €. 10.045 per effetto dei ricavi realizzati nell’anno ma da rimandare all’esercizio 2023 per il rispetto del principio della competenza economica.</w:t>
      </w:r>
    </w:p>
    <w:p>
      <w:pPr>
        <w:pStyle w:val="Notaintegrativatabelle"/>
        <w:shd w:val="clear" w:color="auto" w:fill="FFFFFF"/>
        <w:rPr>
          <w:rFonts w:cs="Arial"/>
          <w:b w:val="false"/>
          <w:b w:val="false"/>
          <w:bCs w:val="false"/>
          <w:kern w:val="0"/>
          <w:sz w:val="24"/>
        </w:rPr>
      </w:pPr>
      <w:r>
        <w:rPr>
          <w:rFonts w:cs="Arial"/>
          <w:b w:val="false"/>
          <w:bCs w:val="false"/>
          <w:kern w:val="0"/>
          <w:sz w:val="24"/>
        </w:rPr>
        <w:t xml:space="preserve">L’analisi per indici applicata allo stato patrimoniale riclassificato secondo il grado di smobilizzo evidenzia un grado di copertura con capitale proprio delle immobilizzazioni (Quoziente di solidità o di struttura), pari a 2.05 nell’esercizio in esame contro un valore pari a 2,64 nel 2021. Tale rapporto ha raggiunto un valore ottimale almeno uguale a 1. </w:t>
      </w:r>
    </w:p>
    <w:p>
      <w:pPr>
        <w:pStyle w:val="Notaintegrativatabelle"/>
        <w:shd w:val="clear" w:color="auto" w:fill="FFFFFF"/>
        <w:rPr>
          <w:rFonts w:cs="Arial"/>
          <w:b w:val="false"/>
          <w:b w:val="false"/>
          <w:bCs w:val="false"/>
          <w:kern w:val="0"/>
          <w:sz w:val="24"/>
        </w:rPr>
      </w:pPr>
      <w:r>
        <w:rPr>
          <w:rFonts w:cs="Arial"/>
          <w:b w:val="false"/>
          <w:bCs w:val="false"/>
          <w:kern w:val="0"/>
          <w:sz w:val="24"/>
        </w:rPr>
        <w:t xml:space="preserve">Inoltre, se per la copertura delle immobilizzazioni si considerano anche le passività a medio/lungo termine, l’AC presenta un grado di solidità leggermente più alto; infatti l’indice di copertura delle immobilizzazioni con fonti durevoli (o altrimenti detto quoziente di Copertura) presenta un valore pari a 2,21 nell’esercizio in esame, contro un valore di 2,92 rilevato nell’esercizio precedente. </w:t>
      </w:r>
    </w:p>
    <w:p>
      <w:pPr>
        <w:pStyle w:val="Notaintegrativatabelle"/>
        <w:shd w:val="clear" w:color="auto" w:fill="FFFFFF"/>
        <w:rPr>
          <w:rFonts w:cs="Arial"/>
          <w:b w:val="false"/>
          <w:b w:val="false"/>
          <w:bCs w:val="false"/>
          <w:kern w:val="0"/>
          <w:sz w:val="24"/>
        </w:rPr>
      </w:pPr>
      <w:r>
        <w:rPr>
          <w:rFonts w:cs="Arial"/>
          <w:b w:val="false"/>
          <w:bCs w:val="false"/>
          <w:kern w:val="0"/>
          <w:sz w:val="24"/>
        </w:rPr>
        <w:t xml:space="preserve">L’indice di indipendenza da terzi (o altrimenti detto Quoziente di Indipendenza) misura l’adeguatezza dell’indebitamento da terzi rispetto alla struttura del bilancio dell’Ente; l’indice, rappresentato dal rapporto tra il Patrimonio Netto e l’indebitamento complessivo (passività non correnti + passività correnti) relativo all’esercizio in esame è pari a 0,31 contro un valore di 0,25 dell’esercizio precedente. </w:t>
      </w:r>
    </w:p>
    <w:p>
      <w:pPr>
        <w:pStyle w:val="Notaintegrativatabelle"/>
        <w:shd w:val="clear" w:color="auto" w:fill="FFFFFF"/>
        <w:rPr>
          <w:rFonts w:cs="Arial"/>
          <w:b w:val="false"/>
          <w:b w:val="false"/>
          <w:bCs w:val="false"/>
          <w:kern w:val="0"/>
          <w:sz w:val="24"/>
        </w:rPr>
      </w:pPr>
      <w:r>
        <w:rPr>
          <w:rFonts w:cs="Arial"/>
          <w:b w:val="false"/>
          <w:bCs w:val="false"/>
          <w:kern w:val="0"/>
          <w:sz w:val="24"/>
        </w:rPr>
        <w:t>L’indice di liquidità immediata (Quick ratio o Acid test) rappresenta la capacità dell’Ente di far fronte alle obbligazioni scadenti nel breve termine attraverso le risorse che si rendono effettivamente disponibili in forma liquida nello stesso arco temporale. Tale indicatore (Attività a breve al netto delle rimanenze/Passività a breve) è pari a 1,19 nell’esercizio in esame mentre era pari a 1,18 nell’esercizio precedente. Tale rapporto, deve essere almeno pari ad 1, considerandosi ottimale, sotto il profilo della solvibilità, un valore delle attività a breve al netto delle rimanenze almeno pari a quanto necessario per onorare le obbligazioni che scadono nel breve termine. Nel caso dell’Ente tale rapporto è superiore ad 1 e ciò vuol dire che per onorare le obbligazioni che scadono nel breve termine l’Ente non deve fare ricorso all’immediato smobilizzo di una parte delle attività fisse.</w:t>
      </w:r>
    </w:p>
    <w:p>
      <w:pPr>
        <w:pStyle w:val="Notaintegrativatabelle"/>
        <w:shd w:val="clear" w:color="auto" w:fill="FFFFFF"/>
        <w:rPr>
          <w:bCs w:val="false"/>
        </w:rPr>
      </w:pPr>
      <w:r>
        <w:rPr>
          <w:bCs w:val="false"/>
        </w:rPr>
      </w:r>
    </w:p>
    <w:p>
      <w:pPr>
        <w:pStyle w:val="Notaintegrativatabelle"/>
        <w:shd w:val="clear" w:color="auto" w:fill="FFFFFF"/>
        <w:rPr/>
      </w:pPr>
      <w:r>
        <w:rPr>
          <w:bCs w:val="false"/>
        </w:rPr>
        <w:t xml:space="preserve">Tabella 4.1.b </w:t>
      </w:r>
      <w:r>
        <w:rPr>
          <w:b w:val="false"/>
        </w:rPr>
        <w:t>– Stato patrimoniale riclassificato secondo la struttura degli impieghi e delle fonti</w:t>
      </w:r>
    </w:p>
    <w:p>
      <w:pPr>
        <w:pStyle w:val="Notaintegrativatabelle"/>
        <w:shd w:val="clear" w:color="auto" w:fill="FFFFFF"/>
        <w:jc w:val="center"/>
        <w:rPr>
          <w:rFonts w:cs="Arial"/>
          <w:kern w:val="0"/>
          <w:sz w:val="26"/>
          <w:szCs w:val="26"/>
        </w:rPr>
      </w:pPr>
      <w:r>
        <w:rPr/>
        <w:object w:dxaOrig="8960" w:dyaOrig="8704">
          <v:shape id="ole_rId17" style="width:400.85pt;height:389.85pt" o:ole="">
            <v:imagedata r:id="rId18" o:title=""/>
          </v:shape>
          <o:OLEObject Type="Embed" ProgID="Excel.Sheet.12" ShapeID="ole_rId17" DrawAspect="Content" ObjectID="_963599919" r:id="rId17"/>
        </w:object>
      </w:r>
    </w:p>
    <w:p>
      <w:pPr>
        <w:pStyle w:val="Normal"/>
        <w:shd w:val="clear" w:color="auto" w:fill="FFFFFF"/>
        <w:spacing w:lineRule="auto" w:line="360"/>
        <w:jc w:val="both"/>
        <w:rPr>
          <w:rFonts w:ascii="Arial" w:hAnsi="Arial" w:eastAsia="Arial" w:cs="Arial"/>
          <w:b/>
          <w:b/>
          <w:bCs/>
          <w:kern w:val="0"/>
          <w:sz w:val="26"/>
          <w:szCs w:val="26"/>
        </w:rPr>
      </w:pPr>
      <w:r>
        <w:rPr>
          <w:rFonts w:eastAsia="Arial" w:cs="Arial" w:ascii="Arial" w:hAnsi="Arial"/>
          <w:b/>
          <w:bCs/>
          <w:kern w:val="0"/>
          <w:sz w:val="26"/>
          <w:szCs w:val="26"/>
        </w:rPr>
      </w:r>
    </w:p>
    <w:p>
      <w:pPr>
        <w:pStyle w:val="Normal"/>
        <w:shd w:val="clear" w:color="auto" w:fill="FFFFFF"/>
        <w:spacing w:lineRule="auto" w:line="360"/>
        <w:jc w:val="both"/>
        <w:rPr>
          <w:rFonts w:ascii="Arial" w:hAnsi="Arial" w:eastAsia="Arial" w:cs="Arial"/>
          <w:kern w:val="0"/>
          <w:lang w:eastAsia="he-IL"/>
        </w:rPr>
      </w:pPr>
      <w:r>
        <w:rPr>
          <w:rFonts w:eastAsia="Arial" w:cs="Arial" w:ascii="Arial" w:hAnsi="Arial"/>
          <w:kern w:val="0"/>
          <w:lang w:eastAsia="he-IL"/>
        </w:rPr>
        <w:t>Il capitale circolante netto, ovvero la differenza tra le attività correnti, depurate dalle poste rettificative e le passività a breve termine, presenta un valore negativo di €. 203.555 in miglioramento di €. 66.102 rispetto all’esercizio 2021.</w:t>
      </w:r>
    </w:p>
    <w:p>
      <w:pPr>
        <w:pStyle w:val="Normal"/>
        <w:shd w:val="clear" w:color="auto" w:fill="FFFFFF"/>
        <w:spacing w:lineRule="auto" w:line="360"/>
        <w:jc w:val="both"/>
        <w:rPr>
          <w:rFonts w:ascii="Arial" w:hAnsi="Arial" w:eastAsia="Arial" w:cs="Arial"/>
          <w:kern w:val="0"/>
          <w:lang w:eastAsia="he-IL"/>
        </w:rPr>
      </w:pPr>
      <w:r>
        <w:rPr>
          <w:rFonts w:eastAsia="Arial" w:cs="Arial" w:ascii="Arial" w:hAnsi="Arial"/>
          <w:kern w:val="0"/>
          <w:lang w:eastAsia="he-IL"/>
        </w:rPr>
        <w:t>Nella tabella suesposta emerge che la posizione finanziaria netta a breve termine, pari a €. 391.939, diminuisce di €. 51.614 rispetto a quella dell’anno precedente.</w:t>
      </w:r>
    </w:p>
    <w:p>
      <w:pPr>
        <w:pStyle w:val="Notaintegrativatabelle"/>
        <w:shd w:val="clear" w:color="auto" w:fill="FFFFFF"/>
        <w:jc w:val="center"/>
        <w:rPr>
          <w:b w:val="false"/>
          <w:b w:val="false"/>
          <w:bCs w:val="false"/>
          <w:kern w:val="0"/>
          <w:sz w:val="26"/>
          <w:szCs w:val="26"/>
          <w:shd w:fill="FFFF00" w:val="clear"/>
        </w:rPr>
      </w:pPr>
      <w:r>
        <w:rPr>
          <w:b w:val="false"/>
          <w:bCs w:val="false"/>
          <w:kern w:val="0"/>
          <w:sz w:val="26"/>
          <w:szCs w:val="26"/>
          <w:shd w:fill="FFFF00" w:val="clear"/>
        </w:rPr>
      </w:r>
    </w:p>
    <w:p>
      <w:pPr>
        <w:pStyle w:val="Normal"/>
        <w:shd w:val="clear" w:color="auto" w:fill="FFFFFF"/>
        <w:spacing w:lineRule="auto" w:line="360"/>
        <w:jc w:val="both"/>
        <w:rPr>
          <w:rFonts w:ascii="Arial" w:hAnsi="Arial" w:eastAsia="Arial" w:cs="Arial"/>
          <w:b/>
          <w:b/>
          <w:bCs/>
          <w:kern w:val="0"/>
          <w:sz w:val="26"/>
          <w:szCs w:val="26"/>
          <w:shd w:fill="FFFF00" w:val="clear"/>
        </w:rPr>
      </w:pPr>
      <w:r>
        <w:rPr>
          <w:rFonts w:eastAsia="Arial" w:cs="Arial" w:ascii="Arial" w:hAnsi="Arial"/>
          <w:b/>
          <w:bCs/>
          <w:kern w:val="0"/>
          <w:sz w:val="26"/>
          <w:szCs w:val="26"/>
          <w:shd w:fill="FFFF00" w:val="clear"/>
        </w:rPr>
      </w:r>
      <w:r>
        <w:br w:type="page"/>
      </w:r>
    </w:p>
    <w:p>
      <w:pPr>
        <w:pStyle w:val="Titolo2"/>
        <w:numPr>
          <w:ilvl w:val="0"/>
          <w:numId w:val="1"/>
        </w:numPr>
        <w:shd w:val="clear" w:color="auto" w:fill="FFFFFF"/>
        <w:spacing w:lineRule="auto" w:line="480" w:before="0" w:after="0"/>
        <w:jc w:val="both"/>
        <w:rPr>
          <w:rFonts w:ascii="Arial" w:hAnsi="Arial" w:eastAsia="Arial" w:cs="Arial"/>
          <w:b/>
          <w:b/>
          <w:bCs/>
          <w:kern w:val="0"/>
          <w:sz w:val="26"/>
          <w:szCs w:val="26"/>
          <w:shd w:fill="FFFF00" w:val="clear"/>
        </w:rPr>
      </w:pPr>
      <w:r>
        <w:rPr>
          <w:rFonts w:eastAsia="Arial" w:cs="Arial" w:ascii="Arial" w:hAnsi="Arial"/>
          <w:b/>
          <w:bCs/>
          <w:kern w:val="0"/>
          <w:sz w:val="26"/>
          <w:szCs w:val="26"/>
          <w:shd w:fill="FFFF00" w:val="clear"/>
        </w:rPr>
      </w:r>
    </w:p>
    <w:p>
      <w:pPr>
        <w:pStyle w:val="Titolo2"/>
        <w:numPr>
          <w:ilvl w:val="0"/>
          <w:numId w:val="1"/>
        </w:numPr>
        <w:shd w:val="clear" w:color="auto" w:fill="FFFFFF"/>
        <w:spacing w:lineRule="auto" w:line="480" w:before="0" w:after="0"/>
        <w:jc w:val="both"/>
        <w:rPr/>
      </w:pPr>
      <w:bookmarkStart w:id="9" w:name="_Toc132099812"/>
      <w:r>
        <w:rPr/>
        <w:t>4.2 SITUAZIONE ECONOMICA</w:t>
      </w:r>
      <w:bookmarkEnd w:id="9"/>
    </w:p>
    <w:p>
      <w:pPr>
        <w:pStyle w:val="Normal"/>
        <w:shd w:val="clear" w:color="auto" w:fill="FFFFFF"/>
        <w:spacing w:lineRule="auto" w:line="360"/>
        <w:jc w:val="both"/>
        <w:rPr/>
      </w:pPr>
      <w:r>
        <w:rPr>
          <w:rFonts w:eastAsia="Arial" w:cs="Arial" w:ascii="Arial" w:hAnsi="Arial"/>
        </w:rPr>
        <w:t>Nella tabella che segue è riportato il conto economico riclassificato secondo il criterio della pertinenza gestionale.</w:t>
      </w:r>
    </w:p>
    <w:p>
      <w:pPr>
        <w:pStyle w:val="Normal"/>
        <w:shd w:val="clear" w:color="auto" w:fill="FFFFFF"/>
        <w:spacing w:lineRule="auto" w:line="360"/>
        <w:jc w:val="both"/>
        <w:rPr>
          <w:rFonts w:ascii="Arial" w:hAnsi="Arial" w:eastAsia="Arial" w:cs="Arial"/>
        </w:rPr>
      </w:pPr>
      <w:r>
        <w:rPr>
          <w:rFonts w:eastAsia="Arial" w:cs="Arial" w:ascii="Arial" w:hAnsi="Arial"/>
        </w:rPr>
      </w:r>
    </w:p>
    <w:p>
      <w:pPr>
        <w:pStyle w:val="Normal"/>
        <w:shd w:val="clear" w:color="auto" w:fill="FFFFFF"/>
        <w:spacing w:lineRule="auto" w:line="360"/>
        <w:jc w:val="both"/>
        <w:rPr/>
      </w:pPr>
      <w:r>
        <w:rPr>
          <w:rFonts w:eastAsia="Arial" w:cs="Arial" w:ascii="Arial" w:hAnsi="Arial"/>
          <w:b/>
          <w:sz w:val="18"/>
          <w:szCs w:val="18"/>
        </w:rPr>
        <w:t>Tabella 4.2</w:t>
      </w:r>
      <w:r>
        <w:rPr>
          <w:rFonts w:eastAsia="Arial" w:cs="Arial" w:ascii="Arial" w:hAnsi="Arial"/>
          <w:sz w:val="18"/>
          <w:szCs w:val="18"/>
        </w:rPr>
        <w:t xml:space="preserve"> – Conto economico scalare, riclassificato secondo aree di pertinenza gestionale</w:t>
      </w:r>
    </w:p>
    <w:p>
      <w:pPr>
        <w:pStyle w:val="Normal"/>
        <w:shd w:val="clear" w:color="auto" w:fill="FFFFFF"/>
        <w:spacing w:lineRule="auto" w:line="360"/>
        <w:jc w:val="center"/>
        <w:rPr>
          <w:rFonts w:ascii="Arial" w:hAnsi="Arial" w:eastAsia="Arial" w:cs="Arial"/>
        </w:rPr>
      </w:pPr>
      <w:r>
        <w:rPr/>
        <w:object w:dxaOrig="10240" w:dyaOrig="4609">
          <v:shape id="ole_rId19" style="width:477.4pt;height:226.4pt" o:ole="">
            <v:imagedata r:id="rId20" o:title=""/>
          </v:shape>
          <o:OLEObject Type="Embed" ProgID="Excel.Sheet.12" ShapeID="ole_rId19" DrawAspect="Content" ObjectID="_684596026" r:id="rId19"/>
        </w:object>
      </w:r>
    </w:p>
    <w:p>
      <w:pPr>
        <w:pStyle w:val="Normal"/>
        <w:shd w:val="clear" w:color="auto" w:fill="FFFFFF"/>
        <w:spacing w:lineRule="auto" w:line="360"/>
        <w:jc w:val="both"/>
        <w:rPr>
          <w:rFonts w:ascii="Arial" w:hAnsi="Arial" w:eastAsia="Arial" w:cs="Arial"/>
        </w:rPr>
      </w:pPr>
      <w:r>
        <w:rPr>
          <w:rFonts w:eastAsia="Arial" w:cs="Arial" w:ascii="Arial" w:hAnsi="Arial"/>
        </w:rPr>
      </w:r>
    </w:p>
    <w:p>
      <w:pPr>
        <w:pStyle w:val="Normal"/>
        <w:shd w:val="clear" w:color="auto" w:fill="FFFFFF"/>
        <w:spacing w:lineRule="auto" w:line="360"/>
        <w:jc w:val="both"/>
        <w:rPr>
          <w:rFonts w:ascii="Arial" w:hAnsi="Arial" w:eastAsia="Arial" w:cs="Arial"/>
        </w:rPr>
      </w:pPr>
      <w:r>
        <w:rPr>
          <w:rFonts w:eastAsia="Arial" w:cs="Arial" w:ascii="Arial" w:hAnsi="Arial"/>
        </w:rPr>
        <w:t>La diminuzione del valore aggiunto è determinata dall’aumento del valore della produzione al quale si contrappone un aumento più incisivo dei costi esterni operativi. Il valore aggiunto è stato sufficiente a remunerare i costi di ammortamenti, generando un margine operativo netto positivo pari a € 38.450.</w:t>
      </w:r>
    </w:p>
    <w:p>
      <w:pPr>
        <w:pStyle w:val="Normal"/>
        <w:shd w:val="clear" w:color="auto" w:fill="FFFFFF"/>
        <w:spacing w:lineRule="auto" w:line="360"/>
        <w:jc w:val="both"/>
        <w:rPr>
          <w:rFonts w:ascii="Arial" w:hAnsi="Arial" w:eastAsia="Arial" w:cs="Arial"/>
        </w:rPr>
      </w:pPr>
      <w:r>
        <w:rPr>
          <w:rFonts w:eastAsia="Arial" w:cs="Arial" w:ascii="Arial" w:hAnsi="Arial"/>
        </w:rPr>
        <w:t>Il risultato lordo prima delle imposte, generato calcolando l’impatto degli oneri finanziari sul margine operativo integrale, risulta essere positivo e pari a € 82.467.</w:t>
      </w:r>
    </w:p>
    <w:p>
      <w:pPr>
        <w:pStyle w:val="Normal"/>
        <w:shd w:val="clear" w:color="auto" w:fill="FFFFFF"/>
        <w:spacing w:lineRule="auto" w:line="360"/>
        <w:jc w:val="both"/>
        <w:rPr>
          <w:rFonts w:ascii="Arial" w:hAnsi="Arial" w:eastAsia="Arial" w:cs="Arial"/>
        </w:rPr>
      </w:pPr>
      <w:r>
        <w:rPr>
          <w:rFonts w:eastAsia="Arial" w:cs="Arial" w:ascii="Arial" w:hAnsi="Arial"/>
        </w:rPr>
        <w:t>Quest’ultimo, rettificato delle imposte di esercizio, porta al risultato netto dell’esercizio, che evidenzia un utile di € 80.449.</w:t>
      </w:r>
    </w:p>
    <w:p>
      <w:pPr>
        <w:pStyle w:val="Normal"/>
        <w:shd w:val="clear" w:color="auto" w:fill="FFFFFF"/>
        <w:spacing w:lineRule="auto" w:line="360"/>
        <w:jc w:val="both"/>
        <w:rPr>
          <w:rFonts w:ascii="Arial" w:hAnsi="Arial" w:eastAsia="Arial" w:cs="Arial"/>
        </w:rPr>
      </w:pPr>
      <w:r>
        <w:rPr>
          <w:rFonts w:eastAsia="Arial" w:cs="Arial" w:ascii="Arial" w:hAnsi="Arial"/>
        </w:rPr>
      </w:r>
    </w:p>
    <w:p>
      <w:pPr>
        <w:pStyle w:val="Titolo1"/>
        <w:shd w:val="clear" w:color="auto" w:fill="FFFFFF"/>
        <w:spacing w:lineRule="auto" w:line="480" w:before="0" w:after="0"/>
        <w:jc w:val="both"/>
        <w:rPr/>
      </w:pPr>
      <w:bookmarkStart w:id="10" w:name="_Toc132099813"/>
      <w:r>
        <w:rPr/>
        <w:t>5. EVOLUZIONE PREVEDIBILE DELLA GESTIONE</w:t>
      </w:r>
      <w:bookmarkEnd w:id="10"/>
    </w:p>
    <w:p>
      <w:pPr>
        <w:pStyle w:val="Normal"/>
        <w:shd w:val="clear" w:color="auto" w:fill="FFFFFF"/>
        <w:spacing w:lineRule="auto" w:line="360"/>
        <w:jc w:val="both"/>
        <w:rPr/>
      </w:pPr>
      <w:r>
        <w:rPr>
          <w:rFonts w:eastAsia="Arial" w:cs="Arial" w:ascii="Arial" w:hAnsi="Arial"/>
        </w:rPr>
        <w:t>Nonostante si possa considerare terminata l’emergenza sanitaria, la ripresa economica, anche a causa della situazione socio politica mondiale e nazionale, risulta essere molto più lenta e faticosa di quanto fosse prevedibile.</w:t>
      </w:r>
    </w:p>
    <w:p>
      <w:pPr>
        <w:pStyle w:val="Normal"/>
        <w:shd w:val="clear" w:color="auto" w:fill="FFFFFF"/>
        <w:spacing w:lineRule="auto" w:line="360"/>
        <w:jc w:val="both"/>
        <w:rPr/>
      </w:pPr>
      <w:r>
        <w:rPr>
          <w:rFonts w:eastAsia="Arial" w:cs="Arial" w:ascii="Arial" w:hAnsi="Arial"/>
        </w:rPr>
        <w:t>Come disposto al n. 22-quater dell’articolo 2427 del codice civile l’Ente è tenuto a dare l’informazione nella nota integrativa dei fatti di rilievo avvenuti dopo la chiusura dell’esercizio per dare un preciso flusso di informazioni, per assolvere agli obblighi di pubblicità e per fornire adeguate informazioni in una situazione critica come quella che stiamo affrontando.</w:t>
      </w:r>
    </w:p>
    <w:p>
      <w:pPr>
        <w:pStyle w:val="Normal"/>
        <w:shd w:val="clear" w:color="auto" w:fill="FFFFFF"/>
        <w:spacing w:lineRule="auto" w:line="360"/>
        <w:jc w:val="both"/>
        <w:rPr/>
      </w:pPr>
      <w:r>
        <w:rPr>
          <w:rFonts w:eastAsia="Arial" w:cs="Arial" w:ascii="Arial" w:hAnsi="Arial"/>
        </w:rPr>
        <w:t>In questo paragrafo si intende dare una stima, seppur provvisoria, degli effetti economici/patrimoniali nel 2023.</w:t>
      </w:r>
    </w:p>
    <w:p>
      <w:pPr>
        <w:pStyle w:val="Normal"/>
        <w:shd w:val="clear" w:color="auto" w:fill="FFFFFF"/>
        <w:spacing w:lineRule="auto" w:line="360"/>
        <w:jc w:val="both"/>
        <w:rPr/>
      </w:pPr>
      <w:r>
        <w:rPr>
          <w:rFonts w:eastAsia="Arial" w:cs="Arial" w:ascii="Arial" w:hAnsi="Arial"/>
          <w:b/>
        </w:rPr>
        <w:t>Situazione economica</w:t>
      </w:r>
      <w:r>
        <w:rPr>
          <w:rFonts w:eastAsia="Arial" w:cs="Arial" w:ascii="Arial" w:hAnsi="Arial"/>
        </w:rPr>
        <w:t>:</w:t>
      </w:r>
    </w:p>
    <w:p>
      <w:pPr>
        <w:pStyle w:val="Normal"/>
        <w:shd w:val="clear" w:color="auto" w:fill="FFFFFF"/>
        <w:spacing w:lineRule="auto" w:line="360"/>
        <w:jc w:val="both"/>
        <w:rPr/>
      </w:pPr>
      <w:r>
        <w:rPr>
          <w:rFonts w:eastAsia="Arial" w:cs="Arial" w:ascii="Arial" w:hAnsi="Arial"/>
        </w:rPr>
        <w:t>Il consolidamento del rapporto con i nuovi utenti acquisiti nel 2022 fanno sperare in un consistente lavoro per l’ufficio assistenza e quindi, così come per il 2022, ad un incremento o quantomeno mantenimento dei ricavi in questo settore, nonostante l’evidente attuale crisi.</w:t>
      </w:r>
    </w:p>
    <w:p>
      <w:pPr>
        <w:pStyle w:val="Normal"/>
        <w:shd w:val="clear" w:color="auto" w:fill="FFFFFF"/>
        <w:spacing w:lineRule="auto" w:line="360"/>
        <w:jc w:val="both"/>
        <w:rPr/>
      </w:pPr>
      <w:r>
        <w:rPr>
          <w:rFonts w:eastAsia="Arial" w:cs="Arial" w:ascii="Arial" w:hAnsi="Arial"/>
        </w:rPr>
        <w:t xml:space="preserve">Per quanto attiene alla compagine associativa, risulta difficile immaginare incrementi simili a quelli registrati nel 2022, essendo molto più verosimile, stante la situazione sociale attuale, ipotizzare una sostanziale tenuta del portafoglio, o al massimo, un leggero incremento dello stesso. </w:t>
      </w:r>
    </w:p>
    <w:p>
      <w:pPr>
        <w:pStyle w:val="Normal"/>
        <w:shd w:val="clear" w:color="auto" w:fill="FFFFFF"/>
        <w:spacing w:lineRule="auto" w:line="360"/>
        <w:jc w:val="both"/>
        <w:rPr/>
      </w:pPr>
      <w:r>
        <w:rPr>
          <w:rFonts w:eastAsia="Arial" w:cs="Arial" w:ascii="Arial" w:hAnsi="Arial"/>
          <w:b/>
        </w:rPr>
        <w:t>Situazione finanziaria:</w:t>
      </w:r>
    </w:p>
    <w:p>
      <w:pPr>
        <w:pStyle w:val="Normal"/>
        <w:shd w:val="clear" w:color="auto" w:fill="FFFFFF"/>
        <w:spacing w:lineRule="auto" w:line="360"/>
        <w:jc w:val="both"/>
        <w:rPr/>
      </w:pPr>
      <w:r>
        <w:rPr>
          <w:rFonts w:eastAsia="Arial" w:cs="Arial" w:ascii="Arial" w:hAnsi="Arial"/>
        </w:rPr>
        <w:t xml:space="preserve">Prima della chiusura del bilancio 2022 si è provveduto ad una attenta valutazione dei crediti iscritti a bilancio. Ad oggi l’Ente non ha motivo di credere che i restanti crediti potrebbero essere in parte dichiarati inesigibili perché tutti relativi a crediti verso i propri clienti ed Aci. Pur tenendo conto del periodo critico, l’Ente non ha alcun dubbio sulla loro solvibilità. </w:t>
      </w:r>
    </w:p>
    <w:p>
      <w:pPr>
        <w:pStyle w:val="Normal"/>
        <w:shd w:val="clear" w:color="auto" w:fill="FFFFFF"/>
        <w:spacing w:lineRule="auto" w:line="360"/>
        <w:jc w:val="both"/>
        <w:rPr/>
      </w:pPr>
      <w:r>
        <w:rPr>
          <w:rFonts w:eastAsia="Arial" w:cs="Arial" w:ascii="Arial" w:hAnsi="Arial"/>
        </w:rPr>
        <w:t>I debiti verso i fornitori saranno puntualmente onorati tenuto anche conto che parte di essi sono verso Aci e quindi compensabili con i crediti che l’Ente ha nei confronti dello stesso soggetto.</w:t>
      </w:r>
    </w:p>
    <w:p>
      <w:pPr>
        <w:pStyle w:val="Normal"/>
        <w:shd w:val="clear" w:color="auto" w:fill="FFFFFF"/>
        <w:spacing w:lineRule="auto" w:line="360"/>
        <w:jc w:val="both"/>
        <w:rPr/>
      </w:pPr>
      <w:r>
        <w:rPr>
          <w:rFonts w:eastAsia="Arial" w:cs="Arial" w:ascii="Arial" w:hAnsi="Arial"/>
        </w:rPr>
        <w:t xml:space="preserve">La consistenza delle disponibilità liquide non destano preoccupazioni, poiché l’Ente ritiene di essere in grado di fronteggiare l’attuale situazione di emergenza anche se dovesse perdurare nel tempo. </w:t>
      </w:r>
    </w:p>
    <w:p>
      <w:pPr>
        <w:pStyle w:val="Normal"/>
        <w:shd w:val="clear" w:color="auto" w:fill="FFFFFF"/>
        <w:spacing w:lineRule="auto" w:line="360"/>
        <w:jc w:val="both"/>
        <w:rPr/>
      </w:pPr>
      <w:r>
        <w:rPr>
          <w:rFonts w:eastAsia="Arial" w:cs="Arial" w:ascii="Arial" w:hAnsi="Arial"/>
          <w:b/>
        </w:rPr>
        <w:t>Situazione Patrimoniale:</w:t>
      </w:r>
    </w:p>
    <w:p>
      <w:pPr>
        <w:pStyle w:val="Normal"/>
        <w:shd w:val="clear" w:color="auto" w:fill="FFFFFF"/>
        <w:spacing w:lineRule="auto" w:line="360"/>
        <w:jc w:val="both"/>
        <w:rPr/>
      </w:pPr>
      <w:r>
        <w:rPr>
          <w:rFonts w:eastAsia="Arial" w:cs="Arial" w:ascii="Arial" w:hAnsi="Arial"/>
        </w:rPr>
        <w:t>Si conferma prioritario l’obiettivo dell’Ente di consolidare ulteriormente il proprio patrimonio netto e di portarlo a valori ottimali per poter finanziare le sue attività operativa e di investimento senza ricorrere a finanziamenti da parte di terzi.</w:t>
      </w:r>
    </w:p>
    <w:p>
      <w:pPr>
        <w:pStyle w:val="Normal"/>
        <w:shd w:val="clear" w:color="auto" w:fill="FFFFFF"/>
        <w:rPr>
          <w:rFonts w:ascii="Arial" w:hAnsi="Arial" w:eastAsia="Arial" w:cs="Arial"/>
        </w:rPr>
      </w:pPr>
      <w:r>
        <w:rPr>
          <w:rFonts w:eastAsia="Arial" w:cs="Arial" w:ascii="Arial" w:hAnsi="Arial"/>
        </w:rPr>
      </w:r>
      <w:r>
        <w:br w:type="page"/>
      </w:r>
    </w:p>
    <w:p>
      <w:pPr>
        <w:pStyle w:val="Titolo1"/>
        <w:shd w:val="clear" w:color="auto" w:fill="FFFFFF"/>
        <w:spacing w:lineRule="auto" w:line="480" w:before="0" w:after="0"/>
        <w:jc w:val="both"/>
        <w:rPr/>
      </w:pPr>
      <w:bookmarkStart w:id="11" w:name="_Toc132099814"/>
      <w:r>
        <w:rPr/>
        <w:t>6. DESTINAZIONE DEL RISULTATO ECONOMICO</w:t>
      </w:r>
      <w:bookmarkEnd w:id="11"/>
    </w:p>
    <w:p>
      <w:pPr>
        <w:pStyle w:val="Notaintegrativatabelle"/>
        <w:shd w:val="clear" w:color="auto" w:fill="FFFFFF"/>
        <w:rPr/>
      </w:pPr>
      <w:r>
        <w:rPr>
          <w:b w:val="false"/>
          <w:bCs w:val="false"/>
          <w:kern w:val="0"/>
          <w:sz w:val="24"/>
        </w:rPr>
        <w:t xml:space="preserve">L’Ente nel corso dell’esercizio ha registrato un utile di € 80.749 da destinare totalmente all’ulteriore consolidamento del Patrimonio Netto, tornato positivo a fine esercizio 2018. </w:t>
      </w:r>
    </w:p>
    <w:p>
      <w:pPr>
        <w:pStyle w:val="Notaintegrativatabelle"/>
        <w:shd w:val="clear" w:color="auto" w:fill="FFFFFF"/>
        <w:rPr/>
      </w:pPr>
      <w:r>
        <w:rPr>
          <w:b w:val="false"/>
          <w:bCs w:val="false"/>
          <w:kern w:val="0"/>
          <w:sz w:val="24"/>
        </w:rPr>
        <w:t>Forlì li  __/04/2023</w:t>
      </w:r>
    </w:p>
    <w:p>
      <w:pPr>
        <w:pStyle w:val="Notaintegrativatabelle"/>
        <w:shd w:val="clear" w:color="auto" w:fill="FFFFFF"/>
        <w:rPr/>
      </w:pPr>
      <w:r>
        <w:rPr>
          <w:b w:val="false"/>
          <w:bCs w:val="false"/>
          <w:kern w:val="0"/>
          <w:sz w:val="24"/>
        </w:rPr>
        <w:tab/>
        <w:tab/>
        <w:tab/>
        <w:tab/>
        <w:tab/>
        <w:tab/>
        <w:tab/>
        <w:tab/>
        <w:tab/>
        <w:t>Il Presidente</w:t>
      </w:r>
    </w:p>
    <w:p>
      <w:pPr>
        <w:pStyle w:val="Normal"/>
        <w:shd w:val="clear" w:color="auto" w:fill="FFFFFF"/>
        <w:rPr>
          <w:rFonts w:eastAsia="Liberation Serif" w:cs="Liberation Serif"/>
        </w:rPr>
      </w:pPr>
      <w:hyperlink w:anchor="__RefHeading___Toc68699250">
        <w:r>
          <w:rPr>
            <w:rStyle w:val="CollegamentoInternet"/>
            <w:kern w:val="0"/>
          </w:rPr>
          <w:tab/>
          <w:tab/>
          <w:tab/>
          <w:tab/>
          <w:tab/>
          <w:tab/>
          <w:tab/>
          <w:tab/>
          <w:t xml:space="preserve">      F.to Gabriele Focacci</w:t>
          <w:tab/>
        </w:r>
      </w:hyperlink>
    </w:p>
    <w:p>
      <w:pPr>
        <w:pStyle w:val="Normal"/>
        <w:rPr/>
      </w:pPr>
      <w:bookmarkStart w:id="12" w:name="_1457167523"/>
      <w:bookmarkStart w:id="13" w:name="_1488617004"/>
      <w:bookmarkStart w:id="14" w:name="_1488616782"/>
      <w:bookmarkStart w:id="15" w:name="_1457421544"/>
      <w:bookmarkStart w:id="16" w:name="_1457178008"/>
      <w:bookmarkStart w:id="17" w:name="_1457171286"/>
      <w:bookmarkStart w:id="18" w:name="_1457168826"/>
      <w:bookmarkStart w:id="19" w:name="_1488618019"/>
      <w:bookmarkStart w:id="20" w:name="_1488618715"/>
      <w:bookmarkStart w:id="21" w:name="_1488695603"/>
      <w:bookmarkStart w:id="22" w:name="_1489224299"/>
      <w:bookmarkStart w:id="23" w:name="_1488695776"/>
      <w:bookmarkEnd w:id="12"/>
      <w:bookmarkEnd w:id="13"/>
      <w:bookmarkEnd w:id="14"/>
      <w:bookmarkEnd w:id="15"/>
      <w:bookmarkEnd w:id="16"/>
      <w:bookmarkEnd w:id="17"/>
      <w:bookmarkEnd w:id="18"/>
      <w:bookmarkEnd w:id="19"/>
      <w:bookmarkEnd w:id="20"/>
      <w:bookmarkEnd w:id="21"/>
      <w:bookmarkEnd w:id="22"/>
      <w:bookmarkEnd w:id="23"/>
      <w:r>
        <w:rPr>
          <w:rFonts w:eastAsia="Liberation Serif" w:cs="Liberation Serif"/>
        </w:rPr>
        <w:t xml:space="preserve"> </w:t>
      </w:r>
    </w:p>
    <w:sectPr>
      <w:type w:val="nextPage"/>
      <w:pgSz w:w="11906" w:h="16838"/>
      <w:pgMar w:left="1134" w:right="1134"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Light">
    <w:charset w:val="00"/>
    <w:family w:val="roman"/>
    <w:pitch w:val="variable"/>
  </w:font>
  <w:font w:name="Liberation Sans">
    <w:altName w:val="Arial"/>
    <w:charset w:val="00"/>
    <w:family w:val="roman"/>
    <w:pitch w:val="variable"/>
  </w:font>
  <w:font w:name="Arial">
    <w:charset w:val="00"/>
    <w:family w:val="roman"/>
    <w:pitch w:val="variable"/>
  </w:font>
  <w:font w:name="Calibri">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16"/>
  <w:embedSystemFonts/>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it-IT" w:eastAsia="zh-CN" w:bidi="hi-IN"/>
    </w:rPr>
  </w:style>
  <w:style w:type="paragraph" w:styleId="Titolo1">
    <w:name w:val="Heading 1"/>
    <w:basedOn w:val="Titolo11"/>
    <w:next w:val="Corpodeltesto"/>
    <w:qFormat/>
    <w:pPr>
      <w:outlineLvl w:val="0"/>
    </w:pPr>
    <w:rPr/>
  </w:style>
  <w:style w:type="paragraph" w:styleId="Titolo2">
    <w:name w:val="Heading 2"/>
    <w:basedOn w:val="Titolo11"/>
    <w:next w:val="Corpodeltesto"/>
    <w:qFormat/>
    <w:pPr>
      <w:outlineLvl w:val="1"/>
    </w:pPr>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CollegamentoInternet">
    <w:name w:val="Collegamento Internet"/>
    <w:uiPriority w:val="99"/>
    <w:rPr>
      <w:color w:val="000080"/>
      <w:u w:val="single"/>
    </w:rPr>
  </w:style>
  <w:style w:type="character" w:styleId="Saltoaindice" w:customStyle="1">
    <w:name w:val="Salto a indice"/>
    <w:qFormat/>
    <w:rPr/>
  </w:style>
  <w:style w:type="character" w:styleId="TitoloCarattere" w:customStyle="1">
    <w:name w:val="Titolo Carattere"/>
    <w:basedOn w:val="DefaultParagraphFont"/>
    <w:link w:val="Titolo"/>
    <w:uiPriority w:val="10"/>
    <w:qFormat/>
    <w:rsid w:val="00b20770"/>
    <w:rPr>
      <w:rFonts w:ascii="Calibri Light" w:hAnsi="Calibri Light" w:eastAsia="" w:cs="Mangal" w:asciiTheme="majorHAnsi" w:eastAsiaTheme="majorEastAsia" w:hAnsiTheme="majorHAnsi"/>
      <w:b/>
      <w:bCs/>
      <w:kern w:val="2"/>
      <w:sz w:val="32"/>
      <w:szCs w:val="29"/>
      <w:lang w:eastAsia="zh-CN" w:bidi="hi-IN"/>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style>
  <w:style w:type="paragraph" w:styleId="Didascalia">
    <w:name w:val="Caption"/>
    <w:basedOn w:val="Normal"/>
    <w:qFormat/>
    <w:pPr>
      <w:suppressLineNumbers/>
      <w:spacing w:before="120" w:after="120"/>
    </w:pPr>
    <w:rPr>
      <w:rFonts w:cs="Lucida Sans"/>
      <w:i/>
      <w:iCs/>
      <w:sz w:val="24"/>
      <w:szCs w:val="24"/>
    </w:rPr>
  </w:style>
  <w:style w:type="paragraph" w:styleId="Indice" w:customStyle="1">
    <w:name w:val="Indice"/>
    <w:basedOn w:val="Normal"/>
    <w:qFormat/>
    <w:pPr>
      <w:suppressLineNumbers/>
    </w:pPr>
    <w:rPr/>
  </w:style>
  <w:style w:type="paragraph" w:styleId="Titolo21" w:customStyle="1">
    <w:name w:val="Titolo2"/>
    <w:basedOn w:val="Normal"/>
    <w:next w:val="Corpodeltesto"/>
    <w:qFormat/>
    <w:pPr>
      <w:keepNext w:val="true"/>
      <w:spacing w:before="240" w:after="120"/>
    </w:pPr>
    <w:rPr>
      <w:rFonts w:ascii="Liberation Sans" w:hAnsi="Liberation Sans" w:eastAsia="Microsoft YaHei"/>
      <w:sz w:val="28"/>
      <w:szCs w:val="28"/>
    </w:rPr>
  </w:style>
  <w:style w:type="paragraph" w:styleId="Caption">
    <w:name w:val="caption"/>
    <w:basedOn w:val="Normal"/>
    <w:qFormat/>
    <w:pPr>
      <w:suppressLineNumbers/>
      <w:spacing w:before="120" w:after="120"/>
    </w:pPr>
    <w:rPr>
      <w:i/>
      <w:iCs/>
    </w:rPr>
  </w:style>
  <w:style w:type="paragraph" w:styleId="Titolo11" w:customStyle="1">
    <w:name w:val="Titolo1"/>
    <w:basedOn w:val="Normal"/>
    <w:next w:val="Corpodeltesto"/>
    <w:qFormat/>
    <w:pPr>
      <w:keepNext w:val="true"/>
      <w:spacing w:before="240" w:after="120"/>
    </w:pPr>
    <w:rPr>
      <w:rFonts w:ascii="Liberation Sans" w:hAnsi="Liberation Sans" w:eastAsia="Microsoft YaHei" w:cs="Liberation Sans"/>
      <w:sz w:val="28"/>
      <w:szCs w:val="28"/>
    </w:rPr>
  </w:style>
  <w:style w:type="paragraph" w:styleId="Notaintegrativatabelle" w:customStyle="1">
    <w:name w:val="nota integrativa tabelle"/>
    <w:qFormat/>
    <w:pPr>
      <w:widowControl/>
      <w:suppressAutoHyphens w:val="true"/>
      <w:bidi w:val="0"/>
      <w:spacing w:lineRule="auto" w:line="360" w:before="0" w:after="0"/>
      <w:jc w:val="both"/>
    </w:pPr>
    <w:rPr>
      <w:rFonts w:ascii="Arial" w:hAnsi="Arial" w:eastAsia="Arial" w:cs="Lucida Sans"/>
      <w:b/>
      <w:bCs/>
      <w:color w:val="auto"/>
      <w:kern w:val="2"/>
      <w:sz w:val="18"/>
      <w:szCs w:val="24"/>
      <w:lang w:val="it-IT" w:eastAsia="he-IL" w:bidi="hi-IN"/>
    </w:rPr>
  </w:style>
  <w:style w:type="paragraph" w:styleId="Corpodeltesto21" w:customStyle="1">
    <w:name w:val="Corpo del testo 21"/>
    <w:basedOn w:val="Normal"/>
    <w:qFormat/>
    <w:pPr>
      <w:jc w:val="both"/>
    </w:pPr>
    <w:rPr>
      <w:rFonts w:ascii="Arial" w:hAnsi="Arial" w:eastAsia="Arial" w:cs="Arial"/>
      <w:bCs/>
      <w:lang w:eastAsia="he-IL"/>
    </w:rPr>
  </w:style>
  <w:style w:type="paragraph" w:styleId="Contenutotabella" w:customStyle="1">
    <w:name w:val="Contenuto tabella"/>
    <w:basedOn w:val="Normal"/>
    <w:qFormat/>
    <w:pPr>
      <w:widowControl w:val="false"/>
      <w:suppressLineNumbers/>
    </w:pPr>
    <w:rPr/>
  </w:style>
  <w:style w:type="paragraph" w:styleId="Titolotabella" w:customStyle="1">
    <w:name w:val="Titolo tabella"/>
    <w:basedOn w:val="Contenutotabella"/>
    <w:qFormat/>
    <w:pPr>
      <w:jc w:val="center"/>
    </w:pPr>
    <w:rPr>
      <w:b/>
      <w:bCs/>
    </w:rPr>
  </w:style>
  <w:style w:type="paragraph" w:styleId="TOCHeading" w:customStyle="1">
    <w:name w:val="TOC Heading"/>
    <w:basedOn w:val="Titolo1"/>
    <w:next w:val="Normal"/>
    <w:qFormat/>
    <w:pPr>
      <w:keepLines/>
      <w:spacing w:lineRule="auto" w:line="259" w:before="240" w:after="0"/>
    </w:pPr>
    <w:rPr>
      <w:rFonts w:ascii="Calibri Light" w:hAnsi="Calibri Light" w:eastAsia="NSimSun" w:cs="Lucida Sans"/>
      <w:color w:val="2E74B5"/>
      <w:kern w:val="0"/>
      <w:sz w:val="32"/>
      <w:szCs w:val="32"/>
      <w:lang w:eastAsia="it-IT" w:bidi="ar-SA"/>
    </w:rPr>
  </w:style>
  <w:style w:type="paragraph" w:styleId="Indice1">
    <w:name w:val="TOC 1"/>
    <w:basedOn w:val="Indice"/>
    <w:uiPriority w:val="39"/>
    <w:pPr/>
    <w:rPr/>
  </w:style>
  <w:style w:type="paragraph" w:styleId="Indice2">
    <w:name w:val="TOC 2"/>
    <w:basedOn w:val="Indice"/>
    <w:uiPriority w:val="39"/>
    <w:pPr/>
    <w:rPr/>
  </w:style>
  <w:style w:type="paragraph" w:styleId="Titoloprincipale">
    <w:name w:val="Title"/>
    <w:basedOn w:val="Normal"/>
    <w:next w:val="Normal"/>
    <w:link w:val="TitoloCarattere"/>
    <w:uiPriority w:val="10"/>
    <w:qFormat/>
    <w:rsid w:val="00b20770"/>
    <w:pPr>
      <w:spacing w:before="240" w:after="60"/>
      <w:jc w:val="center"/>
      <w:outlineLvl w:val="0"/>
    </w:pPr>
    <w:rPr>
      <w:rFonts w:ascii="Calibri Light" w:hAnsi="Calibri Light" w:eastAsia="" w:cs="Mangal" w:asciiTheme="majorHAnsi" w:eastAsiaTheme="majorEastAsia" w:hAnsiTheme="majorHAnsi"/>
      <w:b/>
      <w:bCs/>
      <w:kern w:val="2"/>
      <w:sz w:val="32"/>
      <w:szCs w:val="29"/>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package" Target="embeddings/oleObject1.xlsx"/><Relationship Id="rId4" Type="http://schemas.openxmlformats.org/officeDocument/2006/relationships/image" Target="media/image18.emf"/><Relationship Id="rId5" Type="http://schemas.openxmlformats.org/officeDocument/2006/relationships/package" Target="embeddings/oleObject2.xlsx"/><Relationship Id="rId6" Type="http://schemas.openxmlformats.org/officeDocument/2006/relationships/image" Target="media/image35.emf"/><Relationship Id="rId7" Type="http://schemas.openxmlformats.org/officeDocument/2006/relationships/package" Target="embeddings/oleObject3.xlsx"/><Relationship Id="rId8" Type="http://schemas.openxmlformats.org/officeDocument/2006/relationships/image" Target="media/image52.emf"/><Relationship Id="rId9" Type="http://schemas.openxmlformats.org/officeDocument/2006/relationships/package" Target="embeddings/oleObject4.xlsx"/><Relationship Id="rId10" Type="http://schemas.openxmlformats.org/officeDocument/2006/relationships/image" Target="media/image69.emf"/><Relationship Id="rId11" Type="http://schemas.openxmlformats.org/officeDocument/2006/relationships/package" Target="embeddings/oleObject5.xlsx"/><Relationship Id="rId12" Type="http://schemas.openxmlformats.org/officeDocument/2006/relationships/image" Target="media/image86.emf"/><Relationship Id="rId13" Type="http://schemas.openxmlformats.org/officeDocument/2006/relationships/package" Target="embeddings/oleObject6.xlsx"/><Relationship Id="rId14" Type="http://schemas.openxmlformats.org/officeDocument/2006/relationships/image" Target="media/image103.emf"/><Relationship Id="rId15" Type="http://schemas.openxmlformats.org/officeDocument/2006/relationships/package" Target="embeddings/oleObject7.xlsx"/><Relationship Id="rId16" Type="http://schemas.openxmlformats.org/officeDocument/2006/relationships/image" Target="media/image120.emf"/><Relationship Id="rId17" Type="http://schemas.openxmlformats.org/officeDocument/2006/relationships/package" Target="embeddings/oleObject8.xlsx"/><Relationship Id="rId18" Type="http://schemas.openxmlformats.org/officeDocument/2006/relationships/image" Target="media/image137.emf"/><Relationship Id="rId19" Type="http://schemas.openxmlformats.org/officeDocument/2006/relationships/package" Target="embeddings/oleObject9.xlsx"/><Relationship Id="rId20" Type="http://schemas.openxmlformats.org/officeDocument/2006/relationships/image" Target="media/image154.emf"/><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Application>LibreOffice/7.0.6.2$Windows_X86_64 LibreOffice_project/144abb84a525d8e30c9dbbefa69cbbf2d8d4ae3b</Application>
  <AppVersion>15.0000</AppVersion>
  <Pages>14</Pages>
  <Words>2492</Words>
  <Characters>14686</Characters>
  <CharactersWithSpaces>17142</CharactersWithSpaces>
  <Paragraphs>113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2023-04-11T09:46:00Z</dcterms:created>
  <dc:creator>Taiani Rosaria</dc:creator>
  <dc:description/>
  <dc:language>it-IT</dc:language>
  <cp:lastModifiedBy/>
  <cp:lastPrinted>1601-01-01T00:00:00Z</cp:lastPrinted>
  <dcterms:modified xsi:type="dcterms:W3CDTF">2023-04-19T12:29:43Z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