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E61" w:rsidRDefault="003D5186" w:rsidP="00990841">
      <w:pPr>
        <w:jc w:val="center"/>
        <w:rPr>
          <w:b/>
          <w:smallCaps/>
          <w:color w:val="244061" w:themeColor="accent1" w:themeShade="80"/>
        </w:rPr>
      </w:pPr>
      <w:r w:rsidRPr="003F1E61">
        <w:rPr>
          <w:b/>
          <w:smallCaps/>
          <w:color w:val="244061" w:themeColor="accent1" w:themeShade="80"/>
        </w:rPr>
        <w:t>La metodologia di analisi del rischio</w:t>
      </w:r>
    </w:p>
    <w:p w:rsidR="00990841" w:rsidRPr="003F1E61" w:rsidRDefault="00990841" w:rsidP="00522164">
      <w:pPr>
        <w:jc w:val="both"/>
        <w:rPr>
          <w:b/>
          <w:smallCaps/>
          <w:color w:val="244061" w:themeColor="accent1" w:themeShade="80"/>
        </w:rPr>
      </w:pPr>
    </w:p>
    <w:p w:rsidR="003F1E61" w:rsidRDefault="003F1E61" w:rsidP="00522164">
      <w:pPr>
        <w:jc w:val="both"/>
        <w:rPr>
          <w:b/>
          <w:color w:val="244061" w:themeColor="accent1" w:themeShade="80"/>
          <w:u w:val="single"/>
        </w:rPr>
      </w:pPr>
      <w:r w:rsidRPr="003F1E61">
        <w:rPr>
          <w:b/>
          <w:color w:val="244061" w:themeColor="accent1" w:themeShade="80"/>
          <w:u w:val="single"/>
        </w:rPr>
        <w:t>Introduzione</w:t>
      </w:r>
    </w:p>
    <w:p w:rsidR="00FF11B6" w:rsidRDefault="00FF11B6" w:rsidP="00FF11B6">
      <w:pPr>
        <w:jc w:val="both"/>
        <w:rPr>
          <w:color w:val="244061"/>
        </w:rPr>
      </w:pPr>
      <w:r>
        <w:rPr>
          <w:color w:val="244061"/>
        </w:rPr>
        <w:t xml:space="preserve">Il PNA 2019 recentemente pubblicato sul sito di ANAC  ha introdotto significative modifiche nel sitema di prevenzione della corruzione che rendono necessario un affinamento della metodologia sino ad ora utilizzata nel PTPCT di ACI per lo svolgimento del processo di gestione del rischio anche al fine di garantire un maggior dettaglio nella rappresentazione delle informazioni rilevanti nell'individuazione  e applicazione delle misure di prevenzione. </w:t>
      </w:r>
    </w:p>
    <w:p w:rsidR="00FF11B6" w:rsidRDefault="00FF11B6" w:rsidP="00FF11B6">
      <w:pPr>
        <w:jc w:val="both"/>
        <w:rPr>
          <w:color w:val="244061"/>
        </w:rPr>
      </w:pPr>
      <w:r>
        <w:rPr>
          <w:color w:val="244061"/>
        </w:rPr>
        <w:t>Nei precedenti Piani,  l’applicazione  della metodologia suggerita dall’Allegato 5 del PNA del 2013 ha dato, in molti casi, risultati non sempre adeguati alle effettive esigenze di gestione del rischio, portando ad una sostanziale sottovalutazione o sovra valutazione dello stesso; sotto altro profilo, uno degli obiettivi dell'aggiornamento  è anche quello di provare a superare alcune criticità emerse da una possibile “disparità” di valutazione dei rischi tra le diverse strutture.</w:t>
      </w:r>
    </w:p>
    <w:p w:rsidR="00FF11B6" w:rsidRDefault="00FF11B6" w:rsidP="00FF11B6">
      <w:pPr>
        <w:jc w:val="both"/>
        <w:rPr>
          <w:color w:val="244061"/>
        </w:rPr>
      </w:pPr>
      <w:r>
        <w:rPr>
          <w:color w:val="244061"/>
        </w:rPr>
        <w:t xml:space="preserve">Il presente documento propone ai referenti - supporto permanente al RPCT - una metodologia di </w:t>
      </w:r>
      <w:r>
        <w:rPr>
          <w:i/>
          <w:color w:val="244061"/>
        </w:rPr>
        <w:t>pesatura</w:t>
      </w:r>
      <w:r>
        <w:rPr>
          <w:color w:val="244061"/>
        </w:rPr>
        <w:t xml:space="preserve"> del rischio rivisitata alla luce delle indicazioni espresse da ANAC nel citato PNA 2019, cui dovrà far necessariamente seguito un riallineamento della futura mappatura dei processi e dei rischi utile alla strutturazione del nuovo  PTPCT 2020 - 2022. </w:t>
      </w:r>
    </w:p>
    <w:p w:rsidR="00FF11B6" w:rsidRDefault="00FF11B6" w:rsidP="00FF11B6">
      <w:pPr>
        <w:jc w:val="both"/>
        <w:rPr>
          <w:color w:val="244061"/>
        </w:rPr>
      </w:pPr>
      <w:r>
        <w:rPr>
          <w:color w:val="244061"/>
        </w:rPr>
        <w:t xml:space="preserve">La nuova metodologia proposta per l’analisi dei rischi di corruzione ai fini della stesura del Piano triennale anticorruzione intende, pertanto, scongiurare le criticità sopra evidenziate, basandosi su un principio di prudenza e privilegiando un sistema di misurazione qualitativo, piuttosto che quantitativo. </w:t>
      </w:r>
    </w:p>
    <w:p w:rsidR="00FF11B6" w:rsidRDefault="00FF11B6" w:rsidP="00FF11B6">
      <w:pPr>
        <w:jc w:val="both"/>
        <w:rPr>
          <w:color w:val="244061"/>
        </w:rPr>
      </w:pPr>
      <w:r>
        <w:rPr>
          <w:color w:val="244061"/>
        </w:rPr>
        <w:t xml:space="preserve">L’adozione del nuovo sistema di misurazione - che si ispira al modello adottato dal “UN Global Compact4 ” -  inoltre, persegue l’obiettivo di conferire agilità ed efficacia al processo di valutazione del rischio. </w:t>
      </w:r>
    </w:p>
    <w:p w:rsidR="00FF11B6" w:rsidRDefault="00FF11B6" w:rsidP="00FF11B6">
      <w:pPr>
        <w:jc w:val="both"/>
        <w:rPr>
          <w:color w:val="244061"/>
        </w:rPr>
      </w:pPr>
    </w:p>
    <w:p w:rsidR="00FF11B6" w:rsidRDefault="00FF11B6" w:rsidP="00FF11B6">
      <w:pPr>
        <w:jc w:val="both"/>
        <w:rPr>
          <w:color w:val="244061"/>
        </w:rPr>
      </w:pPr>
      <w:r>
        <w:rPr>
          <w:b/>
          <w:color w:val="244061"/>
          <w:u w:val="single"/>
        </w:rPr>
        <w:t>Teoria alla base del nuovo sistema</w:t>
      </w:r>
    </w:p>
    <w:p w:rsidR="00FF11B6" w:rsidRDefault="00FF11B6" w:rsidP="00FF11B6">
      <w:pPr>
        <w:jc w:val="both"/>
        <w:rPr>
          <w:color w:val="244061"/>
        </w:rPr>
      </w:pPr>
      <w:r>
        <w:rPr>
          <w:color w:val="244061"/>
        </w:rPr>
        <w:t xml:space="preserve">Piuttosto che sulla meccanica applicazione di parametri e formule per il calcolo del rischio, il nuovo  approccio pone il responsabile nelle condizioni di dover acquisire un’adeguata consapevolezza della minaccia di corruzione e dei relativi impatti che questa può avere sull’amministrazione e,  di conseguenza, sugli stakeholders (cittadini, utenti, operatori economici, sistema Paese nel suo complesso). </w:t>
      </w:r>
    </w:p>
    <w:p w:rsidR="00FF11B6" w:rsidRDefault="00FF11B6" w:rsidP="00FF11B6">
      <w:pPr>
        <w:jc w:val="both"/>
        <w:rPr>
          <w:color w:val="244061"/>
        </w:rPr>
      </w:pPr>
      <w:r>
        <w:rPr>
          <w:color w:val="244061"/>
        </w:rPr>
        <w:t xml:space="preserve">È evidente che l’adeguato livello di consapevolezza del contesto di minaccia che grava sull’amministrazione costituisce un fondamentale pre-requisito per un’efficace attività di contrasto della corruzione. </w:t>
      </w:r>
    </w:p>
    <w:p w:rsidR="00FF11B6" w:rsidRDefault="00FF11B6" w:rsidP="00FF11B6">
      <w:pPr>
        <w:jc w:val="both"/>
        <w:rPr>
          <w:color w:val="244061"/>
        </w:rPr>
      </w:pPr>
      <w:r>
        <w:rPr>
          <w:color w:val="244061"/>
        </w:rPr>
        <w:t xml:space="preserve">Il valore del rischio di un evento di corruzione è calcolato come il prodotto della probabilità dell’evento per l’intensità del relativo impatto: </w:t>
      </w:r>
    </w:p>
    <w:p w:rsidR="00FF11B6" w:rsidRDefault="00FF11B6" w:rsidP="00FF11B6">
      <w:pPr>
        <w:jc w:val="both"/>
        <w:rPr>
          <w:b/>
          <w:bCs/>
          <w:color w:val="244061"/>
        </w:rPr>
      </w:pPr>
      <w:r w:rsidRPr="004A05B6">
        <w:rPr>
          <w:b/>
          <w:color w:val="FF0000"/>
        </w:rPr>
        <w:t>Rischio</w:t>
      </w:r>
      <w:r>
        <w:rPr>
          <w:color w:val="244061"/>
        </w:rPr>
        <w:t xml:space="preserve">  =  </w:t>
      </w:r>
      <w:r w:rsidRPr="004A05B6">
        <w:rPr>
          <w:color w:val="244061"/>
          <w:highlight w:val="yellow"/>
        </w:rPr>
        <w:t>Probabilità</w:t>
      </w:r>
      <w:r>
        <w:rPr>
          <w:color w:val="244061"/>
        </w:rPr>
        <w:t xml:space="preserve"> x </w:t>
      </w:r>
      <w:r w:rsidRPr="004A05B6">
        <w:rPr>
          <w:highlight w:val="green"/>
        </w:rPr>
        <w:t>Impatto</w:t>
      </w:r>
    </w:p>
    <w:p w:rsidR="00FF11B6" w:rsidRDefault="00FF11B6" w:rsidP="00FF11B6">
      <w:pPr>
        <w:jc w:val="both"/>
        <w:rPr>
          <w:color w:val="244061"/>
        </w:rPr>
      </w:pPr>
      <w:r>
        <w:rPr>
          <w:b/>
          <w:bCs/>
          <w:color w:val="244061"/>
        </w:rPr>
        <w:t xml:space="preserve">La probabilità </w:t>
      </w:r>
      <w:r>
        <w:rPr>
          <w:color w:val="244061"/>
        </w:rPr>
        <w:t xml:space="preserve">che si verifichi uno specifico evento di corruzione deve essere valutata raccogliendo tutti gli elementi informativi sia di natura oggettiva (ad esempio, eventi di corruzione specifici già occorsi in passato, segnalazioni pervenute all’amministrazione, notizie di stampa), che di natura soggettiva, tenendo conto del contesto ambientale, delle potenziali motivazioni dei soggetti che potrebbero attuare azioni corruttive, nonché degli strumenti in loro possesso; tale valutazione deve essere eseguita dal responsabile </w:t>
      </w:r>
      <w:r>
        <w:rPr>
          <w:color w:val="244061"/>
        </w:rPr>
        <w:lastRenderedPageBreak/>
        <w:t xml:space="preserve">al meglio delle sue possibilità di raccolta di informazioni ed operando una conseguente, attenta, valutazione di sintesi al fine di rappresentare la probabilità di accadimento dell’evento attraverso una scala crescente su 4 valori: </w:t>
      </w:r>
    </w:p>
    <w:p w:rsidR="00FF11B6" w:rsidRDefault="00FF11B6" w:rsidP="00FF11B6">
      <w:pPr>
        <w:pStyle w:val="Paragrafoelenco1"/>
        <w:numPr>
          <w:ilvl w:val="0"/>
          <w:numId w:val="13"/>
        </w:numPr>
        <w:jc w:val="both"/>
        <w:rPr>
          <w:color w:val="244061"/>
        </w:rPr>
      </w:pPr>
      <w:r>
        <w:rPr>
          <w:color w:val="244061"/>
        </w:rPr>
        <w:t>molto basso,</w:t>
      </w:r>
    </w:p>
    <w:p w:rsidR="00FF11B6" w:rsidRDefault="00FF11B6" w:rsidP="00FF11B6">
      <w:pPr>
        <w:pStyle w:val="Paragrafoelenco1"/>
        <w:numPr>
          <w:ilvl w:val="0"/>
          <w:numId w:val="13"/>
        </w:numPr>
        <w:jc w:val="both"/>
        <w:rPr>
          <w:color w:val="244061"/>
        </w:rPr>
      </w:pPr>
      <w:r>
        <w:rPr>
          <w:color w:val="244061"/>
        </w:rPr>
        <w:t>basso,</w:t>
      </w:r>
    </w:p>
    <w:p w:rsidR="00FF11B6" w:rsidRDefault="00FF11B6" w:rsidP="00FF11B6">
      <w:pPr>
        <w:pStyle w:val="Paragrafoelenco1"/>
        <w:numPr>
          <w:ilvl w:val="0"/>
          <w:numId w:val="13"/>
        </w:numPr>
        <w:jc w:val="both"/>
        <w:rPr>
          <w:color w:val="244061"/>
        </w:rPr>
      </w:pPr>
      <w:r>
        <w:rPr>
          <w:color w:val="244061"/>
        </w:rPr>
        <w:t>medio,</w:t>
      </w:r>
    </w:p>
    <w:p w:rsidR="00FF11B6" w:rsidRDefault="00FF11B6" w:rsidP="00FF11B6">
      <w:pPr>
        <w:pStyle w:val="Paragrafoelenco1"/>
        <w:numPr>
          <w:ilvl w:val="0"/>
          <w:numId w:val="13"/>
        </w:numPr>
        <w:jc w:val="both"/>
        <w:rPr>
          <w:b/>
          <w:color w:val="244061"/>
        </w:rPr>
      </w:pPr>
      <w:r>
        <w:rPr>
          <w:color w:val="244061"/>
        </w:rPr>
        <w:t>alto.</w:t>
      </w:r>
    </w:p>
    <w:p w:rsidR="00FF11B6" w:rsidRDefault="00FF11B6" w:rsidP="00FF11B6">
      <w:pPr>
        <w:jc w:val="both"/>
        <w:rPr>
          <w:color w:val="244061"/>
        </w:rPr>
      </w:pPr>
      <w:r>
        <w:rPr>
          <w:b/>
          <w:color w:val="244061"/>
        </w:rPr>
        <w:t>L’impatto</w:t>
      </w:r>
      <w:r>
        <w:rPr>
          <w:color w:val="244061"/>
        </w:rPr>
        <w:t xml:space="preserve"> – utilizzando la stessa scala di valori - è valutato calcolando le conseguenze che l’evento di corruzione produrrebbe: </w:t>
      </w:r>
    </w:p>
    <w:p w:rsidR="00FF11B6" w:rsidRDefault="00FF11B6" w:rsidP="00FF11B6">
      <w:pPr>
        <w:pStyle w:val="Paragrafoelenco1"/>
        <w:numPr>
          <w:ilvl w:val="0"/>
          <w:numId w:val="14"/>
        </w:numPr>
        <w:jc w:val="both"/>
        <w:rPr>
          <w:color w:val="244061"/>
        </w:rPr>
      </w:pPr>
      <w:r>
        <w:rPr>
          <w:color w:val="244061"/>
        </w:rPr>
        <w:t>sull’amministrazione in termini di:</w:t>
      </w:r>
    </w:p>
    <w:p w:rsidR="00FF11B6" w:rsidRDefault="00FF11B6" w:rsidP="00FF11B6">
      <w:pPr>
        <w:pStyle w:val="Paragrafoelenco1"/>
        <w:numPr>
          <w:ilvl w:val="3"/>
          <w:numId w:val="15"/>
        </w:numPr>
        <w:jc w:val="both"/>
        <w:rPr>
          <w:color w:val="244061"/>
        </w:rPr>
      </w:pPr>
      <w:r>
        <w:rPr>
          <w:color w:val="244061"/>
        </w:rPr>
        <w:t xml:space="preserve">qualità e continuità dell’azione amministrativa, </w:t>
      </w:r>
    </w:p>
    <w:p w:rsidR="00FF11B6" w:rsidRDefault="00FF11B6" w:rsidP="00FF11B6">
      <w:pPr>
        <w:pStyle w:val="Paragrafoelenco1"/>
        <w:numPr>
          <w:ilvl w:val="3"/>
          <w:numId w:val="15"/>
        </w:numPr>
        <w:jc w:val="both"/>
        <w:rPr>
          <w:color w:val="244061"/>
        </w:rPr>
      </w:pPr>
      <w:r>
        <w:rPr>
          <w:color w:val="244061"/>
        </w:rPr>
        <w:t xml:space="preserve">impatto economico, </w:t>
      </w:r>
    </w:p>
    <w:p w:rsidR="00FF11B6" w:rsidRDefault="00FF11B6" w:rsidP="00FF11B6">
      <w:pPr>
        <w:pStyle w:val="Paragrafoelenco1"/>
        <w:numPr>
          <w:ilvl w:val="3"/>
          <w:numId w:val="15"/>
        </w:numPr>
        <w:jc w:val="both"/>
        <w:rPr>
          <w:color w:val="244061"/>
        </w:rPr>
      </w:pPr>
      <w:r>
        <w:rPr>
          <w:color w:val="244061"/>
        </w:rPr>
        <w:t xml:space="preserve">conseguenze legali, </w:t>
      </w:r>
    </w:p>
    <w:p w:rsidR="00FF11B6" w:rsidRDefault="00FF11B6" w:rsidP="00FF11B6">
      <w:pPr>
        <w:pStyle w:val="Paragrafoelenco1"/>
        <w:numPr>
          <w:ilvl w:val="3"/>
          <w:numId w:val="15"/>
        </w:numPr>
        <w:jc w:val="both"/>
        <w:rPr>
          <w:color w:val="244061"/>
        </w:rPr>
      </w:pPr>
      <w:r>
        <w:rPr>
          <w:color w:val="244061"/>
        </w:rPr>
        <w:t xml:space="preserve">reputazione e credibilità istituzionale, etc.; </w:t>
      </w:r>
    </w:p>
    <w:p w:rsidR="00FF11B6" w:rsidRDefault="00FF11B6" w:rsidP="00FF11B6">
      <w:pPr>
        <w:pStyle w:val="Paragrafoelenco1"/>
        <w:numPr>
          <w:ilvl w:val="0"/>
          <w:numId w:val="14"/>
        </w:numPr>
        <w:jc w:val="both"/>
        <w:rPr>
          <w:color w:val="244061"/>
        </w:rPr>
      </w:pPr>
      <w:r>
        <w:rPr>
          <w:color w:val="244061"/>
        </w:rPr>
        <w:t xml:space="preserve">sugli stakeholders (cittadini, utenti, imprese, mercato, sistema Paese), a seguito del degrado del servizio reso a causa del verificarsi dell’evento di corruzione. </w:t>
      </w:r>
    </w:p>
    <w:p w:rsidR="00FF11B6" w:rsidRDefault="00FF11B6" w:rsidP="00FF11B6">
      <w:pPr>
        <w:jc w:val="both"/>
        <w:rPr>
          <w:color w:val="244061"/>
        </w:rPr>
      </w:pPr>
      <w:r>
        <w:rPr>
          <w:color w:val="244061"/>
        </w:rPr>
        <w:t xml:space="preserve">In conformità con le indicazione del PNA, si è preso a riferimento una presunzione di rischio tale da assumere una posizione massimamente garantista. </w:t>
      </w:r>
    </w:p>
    <w:p w:rsidR="00FF11B6" w:rsidRDefault="00FF11B6" w:rsidP="00FF11B6">
      <w:pPr>
        <w:jc w:val="both"/>
        <w:rPr>
          <w:color w:val="244061"/>
        </w:rPr>
      </w:pPr>
      <w:r>
        <w:rPr>
          <w:color w:val="244061"/>
        </w:rPr>
        <w:t xml:space="preserve">Il prodotto derivante da questi due fattori ha, come possibile esito,  quattro valori di rischio: “molto basso”, “basso”, “medio” e “alto”, che sono tutti valori che richiedono un adeguato - seppur differenziato - trattamento in termini di mitigazione del rischio, con idonee misure preventive. </w:t>
      </w:r>
    </w:p>
    <w:p w:rsidR="00FF11B6" w:rsidRDefault="00FF11B6" w:rsidP="00FF11B6">
      <w:pPr>
        <w:jc w:val="both"/>
        <w:rPr>
          <w:rFonts w:eastAsia="Times New Roman" w:cs="Times New Roman"/>
          <w:color w:val="943634"/>
        </w:rPr>
      </w:pPr>
      <w:r>
        <w:rPr>
          <w:color w:val="244061"/>
        </w:rPr>
        <w:t>Ai fini operativi è stata, quindi, utilizzata la seguente matrice di calcolo del rischio:</w:t>
      </w:r>
    </w:p>
    <w:p w:rsidR="00FF11B6" w:rsidRPr="003F1E61" w:rsidRDefault="00E556EF" w:rsidP="00522164">
      <w:pPr>
        <w:jc w:val="both"/>
        <w:rPr>
          <w:b/>
          <w:color w:val="244061" w:themeColor="accent1" w:themeShade="80"/>
          <w:u w:val="single"/>
        </w:rPr>
      </w:pPr>
      <w:r w:rsidRPr="00E556EF">
        <w:rPr>
          <w:rFonts w:ascii="Calibri" w:eastAsia="Times New Roman" w:hAnsi="Calibri" w:cs="Times New Roman"/>
          <w:noProof/>
          <w:color w:val="943634" w:themeColor="accent2" w:themeShade="BF"/>
          <w:lang w:eastAsia="it-IT"/>
        </w:rPr>
        <w:pict>
          <v:shapetype id="_x0000_t202" coordsize="21600,21600" o:spt="202" path="m,l,21600r21600,l21600,xe">
            <v:stroke joinstyle="miter"/>
            <v:path gradientshapeok="t" o:connecttype="rect"/>
          </v:shapetype>
          <v:shape id="_x0000_s1037" type="#_x0000_t202" style="position:absolute;left:0;text-align:left;margin-left:35.75pt;margin-top:19.6pt;width:19.8pt;height:120.75pt;z-index:251666432;mso-width-relative:margin;mso-height-relative:margin">
            <v:textbox style="mso-next-textbox:#_x0000_s1037">
              <w:txbxContent>
                <w:p w:rsidR="00CF3ACE" w:rsidRPr="00A5619A" w:rsidRDefault="00CF3ACE" w:rsidP="00CF3ACE">
                  <w:pPr>
                    <w:rPr>
                      <w:b/>
                      <w:color w:val="943634" w:themeColor="accent2" w:themeShade="BF"/>
                    </w:rPr>
                  </w:pPr>
                  <w:r w:rsidRPr="00A5619A">
                    <w:rPr>
                      <w:b/>
                      <w:color w:val="943634" w:themeColor="accent2" w:themeShade="BF"/>
                    </w:rPr>
                    <w:t>Impatto</w:t>
                  </w:r>
                </w:p>
              </w:txbxContent>
            </v:textbox>
          </v:shape>
        </w:pict>
      </w:r>
    </w:p>
    <w:tbl>
      <w:tblPr>
        <w:tblW w:w="11640" w:type="dxa"/>
        <w:tblInd w:w="62" w:type="dxa"/>
        <w:tblCellMar>
          <w:left w:w="70" w:type="dxa"/>
          <w:right w:w="70" w:type="dxa"/>
        </w:tblCellMar>
        <w:tblLook w:val="04A0"/>
      </w:tblPr>
      <w:tblGrid>
        <w:gridCol w:w="2860"/>
        <w:gridCol w:w="1740"/>
        <w:gridCol w:w="1820"/>
        <w:gridCol w:w="1740"/>
        <w:gridCol w:w="1740"/>
        <w:gridCol w:w="1740"/>
      </w:tblGrid>
      <w:tr w:rsidR="00657D19" w:rsidRPr="00657D19" w:rsidTr="00657D19">
        <w:trPr>
          <w:trHeight w:val="540"/>
        </w:trPr>
        <w:tc>
          <w:tcPr>
            <w:tcW w:w="2860" w:type="dxa"/>
            <w:tcBorders>
              <w:top w:val="nil"/>
              <w:left w:val="nil"/>
              <w:bottom w:val="nil"/>
              <w:right w:val="nil"/>
            </w:tcBorders>
            <w:shd w:val="clear" w:color="auto" w:fill="auto"/>
            <w:noWrap/>
            <w:vAlign w:val="center"/>
            <w:hideMark/>
          </w:tcPr>
          <w:p w:rsidR="00657D19" w:rsidRPr="00D702F5" w:rsidRDefault="00276E41" w:rsidP="00657D19">
            <w:pPr>
              <w:spacing w:after="0" w:line="240" w:lineRule="auto"/>
              <w:rPr>
                <w:rFonts w:ascii="Calibri" w:eastAsia="Times New Roman" w:hAnsi="Calibri" w:cs="Times New Roman"/>
                <w:color w:val="943634" w:themeColor="accent2" w:themeShade="BF"/>
                <w:lang w:eastAsia="it-IT"/>
              </w:rPr>
            </w:pPr>
            <w:r>
              <w:rPr>
                <w:rFonts w:ascii="Calibri" w:eastAsia="Times New Roman" w:hAnsi="Calibri" w:cs="Times New Roman"/>
                <w:color w:val="943634" w:themeColor="accent2" w:themeShade="BF"/>
                <w:lang w:eastAsia="it-IT"/>
              </w:rPr>
              <w:t xml:space="preserve">                              </w:t>
            </w:r>
            <w:r w:rsidR="00657D19" w:rsidRPr="00D702F5">
              <w:rPr>
                <w:rFonts w:ascii="Calibri" w:eastAsia="Times New Roman" w:hAnsi="Calibri" w:cs="Times New Roman"/>
                <w:color w:val="943634" w:themeColor="accent2" w:themeShade="BF"/>
                <w:lang w:eastAsia="it-IT"/>
              </w:rPr>
              <w:t>alto</w:t>
            </w:r>
          </w:p>
        </w:tc>
        <w:tc>
          <w:tcPr>
            <w:tcW w:w="174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657D19" w:rsidRPr="00657D19" w:rsidRDefault="00657D19" w:rsidP="00657D19">
            <w:pPr>
              <w:spacing w:after="0" w:line="240" w:lineRule="auto"/>
              <w:rPr>
                <w:rFonts w:ascii="Calibri" w:eastAsia="Times New Roman" w:hAnsi="Calibri" w:cs="Times New Roman"/>
                <w:color w:val="000000"/>
                <w:sz w:val="16"/>
                <w:szCs w:val="16"/>
                <w:lang w:eastAsia="it-IT"/>
              </w:rPr>
            </w:pPr>
            <w:r w:rsidRPr="00657D19">
              <w:rPr>
                <w:rFonts w:ascii="Calibri" w:eastAsia="Times New Roman" w:hAnsi="Calibri" w:cs="Times New Roman"/>
                <w:color w:val="000000"/>
                <w:sz w:val="16"/>
                <w:szCs w:val="16"/>
                <w:lang w:eastAsia="it-IT"/>
              </w:rPr>
              <w:t>basso</w:t>
            </w:r>
          </w:p>
        </w:tc>
        <w:tc>
          <w:tcPr>
            <w:tcW w:w="1820" w:type="dxa"/>
            <w:tcBorders>
              <w:top w:val="single" w:sz="4" w:space="0" w:color="auto"/>
              <w:left w:val="nil"/>
              <w:bottom w:val="single" w:sz="4" w:space="0" w:color="auto"/>
              <w:right w:val="single" w:sz="4" w:space="0" w:color="auto"/>
            </w:tcBorders>
            <w:shd w:val="clear" w:color="000000" w:fill="6600FF"/>
            <w:noWrap/>
            <w:vAlign w:val="center"/>
            <w:hideMark/>
          </w:tcPr>
          <w:p w:rsidR="00657D19" w:rsidRPr="00657D19" w:rsidRDefault="00657D19" w:rsidP="00657D19">
            <w:pPr>
              <w:spacing w:after="0" w:line="240" w:lineRule="auto"/>
              <w:rPr>
                <w:rFonts w:ascii="Calibri" w:eastAsia="Times New Roman" w:hAnsi="Calibri" w:cs="Times New Roman"/>
                <w:color w:val="000000"/>
                <w:sz w:val="16"/>
                <w:szCs w:val="16"/>
                <w:lang w:eastAsia="it-IT"/>
              </w:rPr>
            </w:pPr>
            <w:r w:rsidRPr="00657D19">
              <w:rPr>
                <w:rFonts w:ascii="Calibri" w:eastAsia="Times New Roman" w:hAnsi="Calibri" w:cs="Times New Roman"/>
                <w:color w:val="000000"/>
                <w:sz w:val="16"/>
                <w:szCs w:val="16"/>
                <w:lang w:eastAsia="it-IT"/>
              </w:rPr>
              <w:t>medio</w:t>
            </w:r>
          </w:p>
        </w:tc>
        <w:tc>
          <w:tcPr>
            <w:tcW w:w="1740" w:type="dxa"/>
            <w:tcBorders>
              <w:top w:val="single" w:sz="4" w:space="0" w:color="auto"/>
              <w:left w:val="nil"/>
              <w:bottom w:val="single" w:sz="4" w:space="0" w:color="auto"/>
              <w:right w:val="single" w:sz="4" w:space="0" w:color="auto"/>
            </w:tcBorders>
            <w:shd w:val="clear" w:color="000000" w:fill="FF0000"/>
            <w:noWrap/>
            <w:vAlign w:val="center"/>
            <w:hideMark/>
          </w:tcPr>
          <w:p w:rsidR="00657D19" w:rsidRPr="00657D19" w:rsidRDefault="00657D19" w:rsidP="00657D19">
            <w:pPr>
              <w:spacing w:after="0" w:line="240" w:lineRule="auto"/>
              <w:rPr>
                <w:rFonts w:ascii="Calibri" w:eastAsia="Times New Roman" w:hAnsi="Calibri" w:cs="Times New Roman"/>
                <w:color w:val="000000"/>
                <w:sz w:val="16"/>
                <w:szCs w:val="16"/>
                <w:lang w:eastAsia="it-IT"/>
              </w:rPr>
            </w:pPr>
            <w:r w:rsidRPr="00657D19">
              <w:rPr>
                <w:rFonts w:ascii="Calibri" w:eastAsia="Times New Roman" w:hAnsi="Calibri" w:cs="Times New Roman"/>
                <w:color w:val="000000"/>
                <w:sz w:val="16"/>
                <w:szCs w:val="16"/>
                <w:lang w:eastAsia="it-IT"/>
              </w:rPr>
              <w:t>alto</w:t>
            </w:r>
          </w:p>
        </w:tc>
        <w:tc>
          <w:tcPr>
            <w:tcW w:w="1740" w:type="dxa"/>
            <w:tcBorders>
              <w:top w:val="single" w:sz="4" w:space="0" w:color="auto"/>
              <w:left w:val="nil"/>
              <w:bottom w:val="single" w:sz="4" w:space="0" w:color="auto"/>
              <w:right w:val="single" w:sz="4" w:space="0" w:color="auto"/>
            </w:tcBorders>
            <w:shd w:val="clear" w:color="000000" w:fill="FF0000"/>
            <w:noWrap/>
            <w:vAlign w:val="center"/>
            <w:hideMark/>
          </w:tcPr>
          <w:p w:rsidR="00657D19" w:rsidRPr="00657D19" w:rsidRDefault="00657D19" w:rsidP="00657D19">
            <w:pPr>
              <w:spacing w:after="0" w:line="240" w:lineRule="auto"/>
              <w:rPr>
                <w:rFonts w:ascii="Calibri" w:eastAsia="Times New Roman" w:hAnsi="Calibri" w:cs="Times New Roman"/>
                <w:color w:val="000000"/>
                <w:sz w:val="16"/>
                <w:szCs w:val="16"/>
                <w:lang w:eastAsia="it-IT"/>
              </w:rPr>
            </w:pPr>
            <w:r w:rsidRPr="00657D19">
              <w:rPr>
                <w:rFonts w:ascii="Calibri" w:eastAsia="Times New Roman" w:hAnsi="Calibri" w:cs="Times New Roman"/>
                <w:color w:val="000000"/>
                <w:sz w:val="16"/>
                <w:szCs w:val="16"/>
                <w:lang w:eastAsia="it-IT"/>
              </w:rPr>
              <w:t>alto</w:t>
            </w:r>
          </w:p>
        </w:tc>
        <w:tc>
          <w:tcPr>
            <w:tcW w:w="1740" w:type="dxa"/>
            <w:tcBorders>
              <w:top w:val="nil"/>
              <w:left w:val="nil"/>
              <w:bottom w:val="nil"/>
              <w:right w:val="nil"/>
            </w:tcBorders>
            <w:shd w:val="clear" w:color="auto" w:fill="auto"/>
            <w:noWrap/>
            <w:vAlign w:val="center"/>
            <w:hideMark/>
          </w:tcPr>
          <w:p w:rsidR="00657D19" w:rsidRPr="00657D19" w:rsidRDefault="00657D19" w:rsidP="00657D19">
            <w:pPr>
              <w:spacing w:after="0" w:line="240" w:lineRule="auto"/>
              <w:jc w:val="center"/>
              <w:rPr>
                <w:rFonts w:ascii="Calibri" w:eastAsia="Times New Roman" w:hAnsi="Calibri" w:cs="Times New Roman"/>
                <w:color w:val="000000"/>
                <w:lang w:eastAsia="it-IT"/>
              </w:rPr>
            </w:pPr>
          </w:p>
        </w:tc>
      </w:tr>
      <w:tr w:rsidR="00657D19" w:rsidRPr="00657D19" w:rsidTr="00657D19">
        <w:trPr>
          <w:trHeight w:val="480"/>
        </w:trPr>
        <w:tc>
          <w:tcPr>
            <w:tcW w:w="2860" w:type="dxa"/>
            <w:tcBorders>
              <w:top w:val="nil"/>
              <w:left w:val="nil"/>
              <w:bottom w:val="nil"/>
              <w:right w:val="nil"/>
            </w:tcBorders>
            <w:shd w:val="clear" w:color="auto" w:fill="auto"/>
            <w:noWrap/>
            <w:vAlign w:val="center"/>
            <w:hideMark/>
          </w:tcPr>
          <w:p w:rsidR="00657D19" w:rsidRPr="00D702F5" w:rsidRDefault="00276E41" w:rsidP="00657D19">
            <w:pPr>
              <w:spacing w:after="0" w:line="240" w:lineRule="auto"/>
              <w:rPr>
                <w:rFonts w:ascii="Calibri" w:eastAsia="Times New Roman" w:hAnsi="Calibri" w:cs="Times New Roman"/>
                <w:color w:val="943634" w:themeColor="accent2" w:themeShade="BF"/>
                <w:lang w:eastAsia="it-IT"/>
              </w:rPr>
            </w:pPr>
            <w:r>
              <w:rPr>
                <w:rFonts w:ascii="Calibri" w:eastAsia="Times New Roman" w:hAnsi="Calibri" w:cs="Times New Roman"/>
                <w:color w:val="943634" w:themeColor="accent2" w:themeShade="BF"/>
                <w:lang w:eastAsia="it-IT"/>
              </w:rPr>
              <w:t xml:space="preserve">                             </w:t>
            </w:r>
            <w:r w:rsidR="00657D19" w:rsidRPr="00D702F5">
              <w:rPr>
                <w:rFonts w:ascii="Calibri" w:eastAsia="Times New Roman" w:hAnsi="Calibri" w:cs="Times New Roman"/>
                <w:color w:val="943634" w:themeColor="accent2" w:themeShade="BF"/>
                <w:lang w:eastAsia="it-IT"/>
              </w:rPr>
              <w:t>medio</w:t>
            </w:r>
          </w:p>
        </w:tc>
        <w:tc>
          <w:tcPr>
            <w:tcW w:w="1740" w:type="dxa"/>
            <w:tcBorders>
              <w:top w:val="nil"/>
              <w:left w:val="single" w:sz="4" w:space="0" w:color="auto"/>
              <w:bottom w:val="single" w:sz="4" w:space="0" w:color="auto"/>
              <w:right w:val="single" w:sz="4" w:space="0" w:color="auto"/>
            </w:tcBorders>
            <w:shd w:val="clear" w:color="000000" w:fill="FFFF00"/>
            <w:noWrap/>
            <w:vAlign w:val="center"/>
            <w:hideMark/>
          </w:tcPr>
          <w:p w:rsidR="00657D19" w:rsidRPr="00657D19" w:rsidRDefault="00657D19" w:rsidP="00657D19">
            <w:pPr>
              <w:spacing w:after="0" w:line="240" w:lineRule="auto"/>
              <w:rPr>
                <w:rFonts w:ascii="Calibri" w:eastAsia="Times New Roman" w:hAnsi="Calibri" w:cs="Times New Roman"/>
                <w:color w:val="000000"/>
                <w:sz w:val="16"/>
                <w:szCs w:val="16"/>
                <w:lang w:eastAsia="it-IT"/>
              </w:rPr>
            </w:pPr>
            <w:r w:rsidRPr="00657D19">
              <w:rPr>
                <w:rFonts w:ascii="Calibri" w:eastAsia="Times New Roman" w:hAnsi="Calibri" w:cs="Times New Roman"/>
                <w:color w:val="000000"/>
                <w:sz w:val="16"/>
                <w:szCs w:val="16"/>
                <w:lang w:eastAsia="it-IT"/>
              </w:rPr>
              <w:t>basso</w:t>
            </w:r>
          </w:p>
        </w:tc>
        <w:tc>
          <w:tcPr>
            <w:tcW w:w="1820" w:type="dxa"/>
            <w:tcBorders>
              <w:top w:val="nil"/>
              <w:left w:val="nil"/>
              <w:bottom w:val="single" w:sz="4" w:space="0" w:color="auto"/>
              <w:right w:val="single" w:sz="4" w:space="0" w:color="auto"/>
            </w:tcBorders>
            <w:shd w:val="clear" w:color="000000" w:fill="6600FF"/>
            <w:noWrap/>
            <w:vAlign w:val="center"/>
            <w:hideMark/>
          </w:tcPr>
          <w:p w:rsidR="00657D19" w:rsidRPr="00657D19" w:rsidRDefault="00657D19" w:rsidP="00657D19">
            <w:pPr>
              <w:spacing w:after="0" w:line="240" w:lineRule="auto"/>
              <w:rPr>
                <w:rFonts w:ascii="Calibri" w:eastAsia="Times New Roman" w:hAnsi="Calibri" w:cs="Times New Roman"/>
                <w:color w:val="000000"/>
                <w:sz w:val="16"/>
                <w:szCs w:val="16"/>
                <w:lang w:eastAsia="it-IT"/>
              </w:rPr>
            </w:pPr>
            <w:r w:rsidRPr="00657D19">
              <w:rPr>
                <w:rFonts w:ascii="Calibri" w:eastAsia="Times New Roman" w:hAnsi="Calibri" w:cs="Times New Roman"/>
                <w:color w:val="000000"/>
                <w:sz w:val="16"/>
                <w:szCs w:val="16"/>
                <w:lang w:eastAsia="it-IT"/>
              </w:rPr>
              <w:t>medio</w:t>
            </w:r>
          </w:p>
        </w:tc>
        <w:tc>
          <w:tcPr>
            <w:tcW w:w="1740" w:type="dxa"/>
            <w:tcBorders>
              <w:top w:val="nil"/>
              <w:left w:val="nil"/>
              <w:bottom w:val="single" w:sz="4" w:space="0" w:color="auto"/>
              <w:right w:val="single" w:sz="4" w:space="0" w:color="auto"/>
            </w:tcBorders>
            <w:shd w:val="clear" w:color="000000" w:fill="FF0000"/>
            <w:noWrap/>
            <w:vAlign w:val="center"/>
            <w:hideMark/>
          </w:tcPr>
          <w:p w:rsidR="00657D19" w:rsidRPr="00657D19" w:rsidRDefault="00657D19" w:rsidP="00657D19">
            <w:pPr>
              <w:spacing w:after="0" w:line="240" w:lineRule="auto"/>
              <w:rPr>
                <w:rFonts w:ascii="Calibri" w:eastAsia="Times New Roman" w:hAnsi="Calibri" w:cs="Times New Roman"/>
                <w:color w:val="000000"/>
                <w:sz w:val="16"/>
                <w:szCs w:val="16"/>
                <w:lang w:eastAsia="it-IT"/>
              </w:rPr>
            </w:pPr>
            <w:r w:rsidRPr="00657D19">
              <w:rPr>
                <w:rFonts w:ascii="Calibri" w:eastAsia="Times New Roman" w:hAnsi="Calibri" w:cs="Times New Roman"/>
                <w:color w:val="000000"/>
                <w:sz w:val="16"/>
                <w:szCs w:val="16"/>
                <w:lang w:eastAsia="it-IT"/>
              </w:rPr>
              <w:t>alto</w:t>
            </w:r>
          </w:p>
        </w:tc>
        <w:tc>
          <w:tcPr>
            <w:tcW w:w="1740" w:type="dxa"/>
            <w:tcBorders>
              <w:top w:val="nil"/>
              <w:left w:val="nil"/>
              <w:bottom w:val="single" w:sz="4" w:space="0" w:color="auto"/>
              <w:right w:val="single" w:sz="4" w:space="0" w:color="auto"/>
            </w:tcBorders>
            <w:shd w:val="clear" w:color="000000" w:fill="FF0000"/>
            <w:noWrap/>
            <w:vAlign w:val="center"/>
            <w:hideMark/>
          </w:tcPr>
          <w:p w:rsidR="00657D19" w:rsidRPr="00657D19" w:rsidRDefault="00657D19" w:rsidP="00657D19">
            <w:pPr>
              <w:spacing w:after="0" w:line="240" w:lineRule="auto"/>
              <w:rPr>
                <w:rFonts w:ascii="Calibri" w:eastAsia="Times New Roman" w:hAnsi="Calibri" w:cs="Times New Roman"/>
                <w:color w:val="000000"/>
                <w:sz w:val="16"/>
                <w:szCs w:val="16"/>
                <w:lang w:eastAsia="it-IT"/>
              </w:rPr>
            </w:pPr>
            <w:r w:rsidRPr="00657D19">
              <w:rPr>
                <w:rFonts w:ascii="Calibri" w:eastAsia="Times New Roman" w:hAnsi="Calibri" w:cs="Times New Roman"/>
                <w:color w:val="000000"/>
                <w:sz w:val="16"/>
                <w:szCs w:val="16"/>
                <w:lang w:eastAsia="it-IT"/>
              </w:rPr>
              <w:t>alto</w:t>
            </w:r>
          </w:p>
        </w:tc>
        <w:tc>
          <w:tcPr>
            <w:tcW w:w="1740" w:type="dxa"/>
            <w:tcBorders>
              <w:top w:val="nil"/>
              <w:left w:val="nil"/>
              <w:bottom w:val="nil"/>
              <w:right w:val="nil"/>
            </w:tcBorders>
            <w:shd w:val="clear" w:color="auto" w:fill="auto"/>
            <w:noWrap/>
            <w:vAlign w:val="center"/>
            <w:hideMark/>
          </w:tcPr>
          <w:p w:rsidR="00657D19" w:rsidRPr="00657D19" w:rsidRDefault="00657D19" w:rsidP="00657D19">
            <w:pPr>
              <w:spacing w:after="0" w:line="240" w:lineRule="auto"/>
              <w:jc w:val="center"/>
              <w:rPr>
                <w:rFonts w:ascii="Calibri" w:eastAsia="Times New Roman" w:hAnsi="Calibri" w:cs="Times New Roman"/>
                <w:color w:val="000000"/>
                <w:lang w:eastAsia="it-IT"/>
              </w:rPr>
            </w:pPr>
          </w:p>
        </w:tc>
      </w:tr>
      <w:tr w:rsidR="00657D19" w:rsidRPr="00657D19" w:rsidTr="00657D19">
        <w:trPr>
          <w:trHeight w:val="480"/>
        </w:trPr>
        <w:tc>
          <w:tcPr>
            <w:tcW w:w="2860" w:type="dxa"/>
            <w:tcBorders>
              <w:top w:val="nil"/>
              <w:left w:val="nil"/>
              <w:bottom w:val="nil"/>
              <w:right w:val="nil"/>
            </w:tcBorders>
            <w:shd w:val="clear" w:color="auto" w:fill="auto"/>
            <w:noWrap/>
            <w:vAlign w:val="center"/>
            <w:hideMark/>
          </w:tcPr>
          <w:p w:rsidR="00657D19" w:rsidRPr="00D702F5" w:rsidRDefault="00276E41" w:rsidP="00657D19">
            <w:pPr>
              <w:spacing w:after="0" w:line="240" w:lineRule="auto"/>
              <w:rPr>
                <w:rFonts w:ascii="Calibri" w:eastAsia="Times New Roman" w:hAnsi="Calibri" w:cs="Times New Roman"/>
                <w:color w:val="943634" w:themeColor="accent2" w:themeShade="BF"/>
                <w:lang w:eastAsia="it-IT"/>
              </w:rPr>
            </w:pPr>
            <w:r>
              <w:rPr>
                <w:rFonts w:ascii="Calibri" w:eastAsia="Times New Roman" w:hAnsi="Calibri" w:cs="Times New Roman"/>
                <w:color w:val="943634" w:themeColor="accent2" w:themeShade="BF"/>
                <w:lang w:eastAsia="it-IT"/>
              </w:rPr>
              <w:t xml:space="preserve">                             </w:t>
            </w:r>
            <w:r w:rsidR="00657D19" w:rsidRPr="00D702F5">
              <w:rPr>
                <w:rFonts w:ascii="Calibri" w:eastAsia="Times New Roman" w:hAnsi="Calibri" w:cs="Times New Roman"/>
                <w:color w:val="943634" w:themeColor="accent2" w:themeShade="BF"/>
                <w:lang w:eastAsia="it-IT"/>
              </w:rPr>
              <w:t>basso</w:t>
            </w:r>
          </w:p>
        </w:tc>
        <w:tc>
          <w:tcPr>
            <w:tcW w:w="1740" w:type="dxa"/>
            <w:tcBorders>
              <w:top w:val="nil"/>
              <w:left w:val="single" w:sz="4" w:space="0" w:color="auto"/>
              <w:bottom w:val="single" w:sz="4" w:space="0" w:color="auto"/>
              <w:right w:val="single" w:sz="4" w:space="0" w:color="auto"/>
            </w:tcBorders>
            <w:shd w:val="clear" w:color="000000" w:fill="92D050"/>
            <w:noWrap/>
            <w:vAlign w:val="center"/>
            <w:hideMark/>
          </w:tcPr>
          <w:p w:rsidR="00657D19" w:rsidRPr="00657D19" w:rsidRDefault="00657D19" w:rsidP="00657D19">
            <w:pPr>
              <w:spacing w:after="0" w:line="240" w:lineRule="auto"/>
              <w:rPr>
                <w:rFonts w:ascii="Calibri" w:eastAsia="Times New Roman" w:hAnsi="Calibri" w:cs="Times New Roman"/>
                <w:color w:val="000000"/>
                <w:sz w:val="16"/>
                <w:szCs w:val="16"/>
                <w:lang w:eastAsia="it-IT"/>
              </w:rPr>
            </w:pPr>
            <w:r w:rsidRPr="00657D19">
              <w:rPr>
                <w:rFonts w:ascii="Calibri" w:eastAsia="Times New Roman" w:hAnsi="Calibri" w:cs="Times New Roman"/>
                <w:color w:val="000000"/>
                <w:sz w:val="16"/>
                <w:szCs w:val="16"/>
                <w:lang w:eastAsia="it-IT"/>
              </w:rPr>
              <w:t>molto basso</w:t>
            </w:r>
          </w:p>
        </w:tc>
        <w:tc>
          <w:tcPr>
            <w:tcW w:w="1820" w:type="dxa"/>
            <w:tcBorders>
              <w:top w:val="nil"/>
              <w:left w:val="nil"/>
              <w:bottom w:val="single" w:sz="4" w:space="0" w:color="auto"/>
              <w:right w:val="single" w:sz="4" w:space="0" w:color="auto"/>
            </w:tcBorders>
            <w:shd w:val="clear" w:color="000000" w:fill="FFFF00"/>
            <w:noWrap/>
            <w:vAlign w:val="center"/>
            <w:hideMark/>
          </w:tcPr>
          <w:p w:rsidR="00657D19" w:rsidRPr="00657D19" w:rsidRDefault="00657D19" w:rsidP="00657D19">
            <w:pPr>
              <w:spacing w:after="0" w:line="240" w:lineRule="auto"/>
              <w:rPr>
                <w:rFonts w:ascii="Calibri" w:eastAsia="Times New Roman" w:hAnsi="Calibri" w:cs="Times New Roman"/>
                <w:color w:val="000000"/>
                <w:sz w:val="16"/>
                <w:szCs w:val="16"/>
                <w:lang w:eastAsia="it-IT"/>
              </w:rPr>
            </w:pPr>
            <w:r w:rsidRPr="00657D19">
              <w:rPr>
                <w:rFonts w:ascii="Calibri" w:eastAsia="Times New Roman" w:hAnsi="Calibri" w:cs="Times New Roman"/>
                <w:color w:val="000000"/>
                <w:sz w:val="16"/>
                <w:szCs w:val="16"/>
                <w:lang w:eastAsia="it-IT"/>
              </w:rPr>
              <w:t>basso</w:t>
            </w:r>
          </w:p>
        </w:tc>
        <w:tc>
          <w:tcPr>
            <w:tcW w:w="1740" w:type="dxa"/>
            <w:tcBorders>
              <w:top w:val="nil"/>
              <w:left w:val="nil"/>
              <w:bottom w:val="single" w:sz="4" w:space="0" w:color="auto"/>
              <w:right w:val="single" w:sz="4" w:space="0" w:color="auto"/>
            </w:tcBorders>
            <w:shd w:val="clear" w:color="000000" w:fill="6600FF"/>
            <w:noWrap/>
            <w:vAlign w:val="center"/>
            <w:hideMark/>
          </w:tcPr>
          <w:p w:rsidR="00657D19" w:rsidRPr="00657D19" w:rsidRDefault="00657D19" w:rsidP="00657D19">
            <w:pPr>
              <w:spacing w:after="0" w:line="240" w:lineRule="auto"/>
              <w:rPr>
                <w:rFonts w:ascii="Calibri" w:eastAsia="Times New Roman" w:hAnsi="Calibri" w:cs="Times New Roman"/>
                <w:color w:val="000000"/>
                <w:sz w:val="16"/>
                <w:szCs w:val="16"/>
                <w:lang w:eastAsia="it-IT"/>
              </w:rPr>
            </w:pPr>
            <w:r w:rsidRPr="00657D19">
              <w:rPr>
                <w:rFonts w:ascii="Calibri" w:eastAsia="Times New Roman" w:hAnsi="Calibri" w:cs="Times New Roman"/>
                <w:color w:val="000000"/>
                <w:sz w:val="16"/>
                <w:szCs w:val="16"/>
                <w:lang w:eastAsia="it-IT"/>
              </w:rPr>
              <w:t>medio</w:t>
            </w:r>
          </w:p>
        </w:tc>
        <w:tc>
          <w:tcPr>
            <w:tcW w:w="1740" w:type="dxa"/>
            <w:tcBorders>
              <w:top w:val="nil"/>
              <w:left w:val="nil"/>
              <w:bottom w:val="single" w:sz="4" w:space="0" w:color="auto"/>
              <w:right w:val="single" w:sz="4" w:space="0" w:color="auto"/>
            </w:tcBorders>
            <w:shd w:val="clear" w:color="000000" w:fill="6600FF"/>
            <w:noWrap/>
            <w:vAlign w:val="center"/>
            <w:hideMark/>
          </w:tcPr>
          <w:p w:rsidR="00657D19" w:rsidRPr="00657D19" w:rsidRDefault="00657D19" w:rsidP="00657D19">
            <w:pPr>
              <w:spacing w:after="0" w:line="240" w:lineRule="auto"/>
              <w:rPr>
                <w:rFonts w:ascii="Calibri" w:eastAsia="Times New Roman" w:hAnsi="Calibri" w:cs="Times New Roman"/>
                <w:color w:val="000000"/>
                <w:sz w:val="16"/>
                <w:szCs w:val="16"/>
                <w:lang w:eastAsia="it-IT"/>
              </w:rPr>
            </w:pPr>
            <w:r w:rsidRPr="00657D19">
              <w:rPr>
                <w:rFonts w:ascii="Calibri" w:eastAsia="Times New Roman" w:hAnsi="Calibri" w:cs="Times New Roman"/>
                <w:color w:val="000000"/>
                <w:sz w:val="16"/>
                <w:szCs w:val="16"/>
                <w:lang w:eastAsia="it-IT"/>
              </w:rPr>
              <w:t>medio</w:t>
            </w:r>
          </w:p>
        </w:tc>
        <w:tc>
          <w:tcPr>
            <w:tcW w:w="1740" w:type="dxa"/>
            <w:tcBorders>
              <w:top w:val="nil"/>
              <w:left w:val="nil"/>
              <w:bottom w:val="nil"/>
              <w:right w:val="nil"/>
            </w:tcBorders>
            <w:shd w:val="clear" w:color="auto" w:fill="auto"/>
            <w:noWrap/>
            <w:vAlign w:val="center"/>
            <w:hideMark/>
          </w:tcPr>
          <w:p w:rsidR="00657D19" w:rsidRPr="00657D19" w:rsidRDefault="00657D19" w:rsidP="00657D19">
            <w:pPr>
              <w:spacing w:after="0" w:line="240" w:lineRule="auto"/>
              <w:jc w:val="center"/>
              <w:rPr>
                <w:rFonts w:ascii="Calibri" w:eastAsia="Times New Roman" w:hAnsi="Calibri" w:cs="Times New Roman"/>
                <w:color w:val="000000"/>
                <w:lang w:eastAsia="it-IT"/>
              </w:rPr>
            </w:pPr>
          </w:p>
        </w:tc>
      </w:tr>
      <w:tr w:rsidR="00657D19" w:rsidRPr="00657D19" w:rsidTr="00657D19">
        <w:trPr>
          <w:trHeight w:val="480"/>
        </w:trPr>
        <w:tc>
          <w:tcPr>
            <w:tcW w:w="2860" w:type="dxa"/>
            <w:tcBorders>
              <w:top w:val="nil"/>
              <w:left w:val="nil"/>
              <w:bottom w:val="nil"/>
              <w:right w:val="nil"/>
            </w:tcBorders>
            <w:shd w:val="clear" w:color="auto" w:fill="auto"/>
            <w:noWrap/>
            <w:vAlign w:val="center"/>
            <w:hideMark/>
          </w:tcPr>
          <w:p w:rsidR="00657D19" w:rsidRPr="00D702F5" w:rsidRDefault="00276E41" w:rsidP="00657D19">
            <w:pPr>
              <w:spacing w:after="0" w:line="240" w:lineRule="auto"/>
              <w:rPr>
                <w:rFonts w:ascii="Calibri" w:eastAsia="Times New Roman" w:hAnsi="Calibri" w:cs="Times New Roman"/>
                <w:color w:val="943634" w:themeColor="accent2" w:themeShade="BF"/>
                <w:lang w:eastAsia="it-IT"/>
              </w:rPr>
            </w:pPr>
            <w:r>
              <w:rPr>
                <w:rFonts w:ascii="Calibri" w:eastAsia="Times New Roman" w:hAnsi="Calibri" w:cs="Times New Roman"/>
                <w:color w:val="943634" w:themeColor="accent2" w:themeShade="BF"/>
                <w:lang w:eastAsia="it-IT"/>
              </w:rPr>
              <w:t xml:space="preserve">                             </w:t>
            </w:r>
            <w:r w:rsidR="00657D19" w:rsidRPr="00D702F5">
              <w:rPr>
                <w:rFonts w:ascii="Calibri" w:eastAsia="Times New Roman" w:hAnsi="Calibri" w:cs="Times New Roman"/>
                <w:color w:val="943634" w:themeColor="accent2" w:themeShade="BF"/>
                <w:lang w:eastAsia="it-IT"/>
              </w:rPr>
              <w:t>molto basso</w:t>
            </w:r>
          </w:p>
        </w:tc>
        <w:tc>
          <w:tcPr>
            <w:tcW w:w="1740" w:type="dxa"/>
            <w:tcBorders>
              <w:top w:val="nil"/>
              <w:left w:val="single" w:sz="4" w:space="0" w:color="auto"/>
              <w:bottom w:val="single" w:sz="4" w:space="0" w:color="auto"/>
              <w:right w:val="single" w:sz="4" w:space="0" w:color="auto"/>
            </w:tcBorders>
            <w:shd w:val="clear" w:color="000000" w:fill="92D050"/>
            <w:noWrap/>
            <w:vAlign w:val="center"/>
            <w:hideMark/>
          </w:tcPr>
          <w:p w:rsidR="00657D19" w:rsidRPr="00657D19" w:rsidRDefault="00657D19" w:rsidP="00657D19">
            <w:pPr>
              <w:spacing w:after="0" w:line="240" w:lineRule="auto"/>
              <w:rPr>
                <w:rFonts w:ascii="Calibri" w:eastAsia="Times New Roman" w:hAnsi="Calibri" w:cs="Times New Roman"/>
                <w:color w:val="000000"/>
                <w:sz w:val="16"/>
                <w:szCs w:val="16"/>
                <w:lang w:eastAsia="it-IT"/>
              </w:rPr>
            </w:pPr>
            <w:r w:rsidRPr="00657D19">
              <w:rPr>
                <w:rFonts w:ascii="Calibri" w:eastAsia="Times New Roman" w:hAnsi="Calibri" w:cs="Times New Roman"/>
                <w:color w:val="000000"/>
                <w:sz w:val="16"/>
                <w:szCs w:val="16"/>
                <w:lang w:eastAsia="it-IT"/>
              </w:rPr>
              <w:t>molto basso</w:t>
            </w:r>
          </w:p>
        </w:tc>
        <w:tc>
          <w:tcPr>
            <w:tcW w:w="1820" w:type="dxa"/>
            <w:tcBorders>
              <w:top w:val="nil"/>
              <w:left w:val="nil"/>
              <w:bottom w:val="single" w:sz="4" w:space="0" w:color="auto"/>
              <w:right w:val="single" w:sz="4" w:space="0" w:color="auto"/>
            </w:tcBorders>
            <w:shd w:val="clear" w:color="000000" w:fill="92D050"/>
            <w:noWrap/>
            <w:vAlign w:val="center"/>
            <w:hideMark/>
          </w:tcPr>
          <w:p w:rsidR="00657D19" w:rsidRPr="00657D19" w:rsidRDefault="00657D19" w:rsidP="00657D19">
            <w:pPr>
              <w:spacing w:after="0" w:line="240" w:lineRule="auto"/>
              <w:rPr>
                <w:rFonts w:ascii="Calibri" w:eastAsia="Times New Roman" w:hAnsi="Calibri" w:cs="Times New Roman"/>
                <w:color w:val="000000"/>
                <w:sz w:val="16"/>
                <w:szCs w:val="16"/>
                <w:lang w:eastAsia="it-IT"/>
              </w:rPr>
            </w:pPr>
            <w:r w:rsidRPr="00657D19">
              <w:rPr>
                <w:rFonts w:ascii="Calibri" w:eastAsia="Times New Roman" w:hAnsi="Calibri" w:cs="Times New Roman"/>
                <w:color w:val="000000"/>
                <w:sz w:val="16"/>
                <w:szCs w:val="16"/>
                <w:lang w:eastAsia="it-IT"/>
              </w:rPr>
              <w:t>molto basso</w:t>
            </w:r>
          </w:p>
        </w:tc>
        <w:tc>
          <w:tcPr>
            <w:tcW w:w="1740" w:type="dxa"/>
            <w:tcBorders>
              <w:top w:val="nil"/>
              <w:left w:val="nil"/>
              <w:bottom w:val="single" w:sz="4" w:space="0" w:color="auto"/>
              <w:right w:val="single" w:sz="4" w:space="0" w:color="auto"/>
            </w:tcBorders>
            <w:shd w:val="clear" w:color="000000" w:fill="FFFF00"/>
            <w:noWrap/>
            <w:vAlign w:val="center"/>
            <w:hideMark/>
          </w:tcPr>
          <w:p w:rsidR="00657D19" w:rsidRPr="00657D19" w:rsidRDefault="00657D19" w:rsidP="00657D19">
            <w:pPr>
              <w:spacing w:after="0" w:line="240" w:lineRule="auto"/>
              <w:rPr>
                <w:rFonts w:ascii="Calibri" w:eastAsia="Times New Roman" w:hAnsi="Calibri" w:cs="Times New Roman"/>
                <w:color w:val="000000"/>
                <w:sz w:val="16"/>
                <w:szCs w:val="16"/>
                <w:lang w:eastAsia="it-IT"/>
              </w:rPr>
            </w:pPr>
            <w:r w:rsidRPr="00657D19">
              <w:rPr>
                <w:rFonts w:ascii="Calibri" w:eastAsia="Times New Roman" w:hAnsi="Calibri" w:cs="Times New Roman"/>
                <w:color w:val="000000"/>
                <w:sz w:val="16"/>
                <w:szCs w:val="16"/>
                <w:lang w:eastAsia="it-IT"/>
              </w:rPr>
              <w:t>basso</w:t>
            </w:r>
          </w:p>
        </w:tc>
        <w:tc>
          <w:tcPr>
            <w:tcW w:w="1740" w:type="dxa"/>
            <w:tcBorders>
              <w:top w:val="nil"/>
              <w:left w:val="nil"/>
              <w:bottom w:val="single" w:sz="4" w:space="0" w:color="auto"/>
              <w:right w:val="single" w:sz="4" w:space="0" w:color="auto"/>
            </w:tcBorders>
            <w:shd w:val="clear" w:color="000000" w:fill="FFFF00"/>
            <w:noWrap/>
            <w:vAlign w:val="center"/>
            <w:hideMark/>
          </w:tcPr>
          <w:p w:rsidR="00657D19" w:rsidRPr="00657D19" w:rsidRDefault="00657D19" w:rsidP="00657D19">
            <w:pPr>
              <w:spacing w:after="0" w:line="240" w:lineRule="auto"/>
              <w:rPr>
                <w:rFonts w:ascii="Calibri" w:eastAsia="Times New Roman" w:hAnsi="Calibri" w:cs="Times New Roman"/>
                <w:color w:val="000000"/>
                <w:sz w:val="16"/>
                <w:szCs w:val="16"/>
                <w:lang w:eastAsia="it-IT"/>
              </w:rPr>
            </w:pPr>
            <w:r w:rsidRPr="00657D19">
              <w:rPr>
                <w:rFonts w:ascii="Calibri" w:eastAsia="Times New Roman" w:hAnsi="Calibri" w:cs="Times New Roman"/>
                <w:color w:val="000000"/>
                <w:sz w:val="16"/>
                <w:szCs w:val="16"/>
                <w:lang w:eastAsia="it-IT"/>
              </w:rPr>
              <w:t>basso</w:t>
            </w:r>
          </w:p>
        </w:tc>
        <w:tc>
          <w:tcPr>
            <w:tcW w:w="1740" w:type="dxa"/>
            <w:tcBorders>
              <w:top w:val="nil"/>
              <w:left w:val="nil"/>
              <w:bottom w:val="nil"/>
              <w:right w:val="nil"/>
            </w:tcBorders>
            <w:shd w:val="clear" w:color="auto" w:fill="auto"/>
            <w:noWrap/>
            <w:vAlign w:val="center"/>
            <w:hideMark/>
          </w:tcPr>
          <w:p w:rsidR="00657D19" w:rsidRPr="00657D19" w:rsidRDefault="00657D19" w:rsidP="00657D19">
            <w:pPr>
              <w:spacing w:after="0" w:line="240" w:lineRule="auto"/>
              <w:jc w:val="center"/>
              <w:rPr>
                <w:rFonts w:ascii="Calibri" w:eastAsia="Times New Roman" w:hAnsi="Calibri" w:cs="Times New Roman"/>
                <w:color w:val="000000"/>
                <w:lang w:eastAsia="it-IT"/>
              </w:rPr>
            </w:pPr>
          </w:p>
        </w:tc>
      </w:tr>
      <w:tr w:rsidR="00657D19" w:rsidRPr="00657D19" w:rsidTr="00657D19">
        <w:trPr>
          <w:trHeight w:val="480"/>
        </w:trPr>
        <w:tc>
          <w:tcPr>
            <w:tcW w:w="2860" w:type="dxa"/>
            <w:tcBorders>
              <w:top w:val="nil"/>
              <w:left w:val="nil"/>
              <w:bottom w:val="nil"/>
              <w:right w:val="nil"/>
            </w:tcBorders>
            <w:shd w:val="clear" w:color="auto" w:fill="auto"/>
            <w:noWrap/>
            <w:vAlign w:val="center"/>
            <w:hideMark/>
          </w:tcPr>
          <w:p w:rsidR="00657D19" w:rsidRPr="00657D19" w:rsidRDefault="00657D19" w:rsidP="00657D19">
            <w:pPr>
              <w:spacing w:after="0" w:line="240" w:lineRule="auto"/>
              <w:rPr>
                <w:rFonts w:ascii="Calibri" w:eastAsia="Times New Roman" w:hAnsi="Calibri" w:cs="Times New Roman"/>
                <w:color w:val="000000"/>
                <w:lang w:eastAsia="it-IT"/>
              </w:rPr>
            </w:pPr>
          </w:p>
        </w:tc>
        <w:tc>
          <w:tcPr>
            <w:tcW w:w="1740" w:type="dxa"/>
            <w:tcBorders>
              <w:top w:val="nil"/>
              <w:left w:val="nil"/>
              <w:bottom w:val="nil"/>
              <w:right w:val="nil"/>
            </w:tcBorders>
            <w:shd w:val="clear" w:color="auto" w:fill="auto"/>
            <w:noWrap/>
            <w:vAlign w:val="center"/>
            <w:hideMark/>
          </w:tcPr>
          <w:p w:rsidR="00657D19" w:rsidRPr="00D702F5" w:rsidRDefault="00657D19" w:rsidP="00657D19">
            <w:pPr>
              <w:spacing w:after="0" w:line="240" w:lineRule="auto"/>
              <w:rPr>
                <w:rFonts w:ascii="Calibri" w:eastAsia="Times New Roman" w:hAnsi="Calibri" w:cs="Times New Roman"/>
                <w:color w:val="4F6228" w:themeColor="accent3" w:themeShade="80"/>
                <w:lang w:eastAsia="it-IT"/>
              </w:rPr>
            </w:pPr>
            <w:r w:rsidRPr="00D702F5">
              <w:rPr>
                <w:rFonts w:ascii="Calibri" w:eastAsia="Times New Roman" w:hAnsi="Calibri" w:cs="Times New Roman"/>
                <w:color w:val="4F6228" w:themeColor="accent3" w:themeShade="80"/>
                <w:lang w:eastAsia="it-IT"/>
              </w:rPr>
              <w:t>molto basso</w:t>
            </w:r>
          </w:p>
        </w:tc>
        <w:tc>
          <w:tcPr>
            <w:tcW w:w="1820" w:type="dxa"/>
            <w:tcBorders>
              <w:top w:val="nil"/>
              <w:left w:val="nil"/>
              <w:bottom w:val="nil"/>
              <w:right w:val="nil"/>
            </w:tcBorders>
            <w:shd w:val="clear" w:color="auto" w:fill="auto"/>
            <w:noWrap/>
            <w:vAlign w:val="center"/>
            <w:hideMark/>
          </w:tcPr>
          <w:p w:rsidR="00657D19" w:rsidRPr="00D702F5" w:rsidRDefault="00657D19" w:rsidP="00657D19">
            <w:pPr>
              <w:spacing w:after="0" w:line="240" w:lineRule="auto"/>
              <w:rPr>
                <w:rFonts w:ascii="Calibri" w:eastAsia="Times New Roman" w:hAnsi="Calibri" w:cs="Times New Roman"/>
                <w:color w:val="4F6228" w:themeColor="accent3" w:themeShade="80"/>
                <w:lang w:eastAsia="it-IT"/>
              </w:rPr>
            </w:pPr>
            <w:r w:rsidRPr="00D702F5">
              <w:rPr>
                <w:rFonts w:ascii="Calibri" w:eastAsia="Times New Roman" w:hAnsi="Calibri" w:cs="Times New Roman"/>
                <w:color w:val="4F6228" w:themeColor="accent3" w:themeShade="80"/>
                <w:lang w:eastAsia="it-IT"/>
              </w:rPr>
              <w:t>basso</w:t>
            </w:r>
          </w:p>
        </w:tc>
        <w:tc>
          <w:tcPr>
            <w:tcW w:w="1740" w:type="dxa"/>
            <w:tcBorders>
              <w:top w:val="nil"/>
              <w:left w:val="nil"/>
              <w:bottom w:val="nil"/>
              <w:right w:val="nil"/>
            </w:tcBorders>
            <w:shd w:val="clear" w:color="auto" w:fill="auto"/>
            <w:noWrap/>
            <w:vAlign w:val="center"/>
            <w:hideMark/>
          </w:tcPr>
          <w:p w:rsidR="00657D19" w:rsidRPr="00D702F5" w:rsidRDefault="00657D19" w:rsidP="00657D19">
            <w:pPr>
              <w:spacing w:after="0" w:line="240" w:lineRule="auto"/>
              <w:rPr>
                <w:rFonts w:ascii="Calibri" w:eastAsia="Times New Roman" w:hAnsi="Calibri" w:cs="Times New Roman"/>
                <w:color w:val="4F6228" w:themeColor="accent3" w:themeShade="80"/>
                <w:lang w:eastAsia="it-IT"/>
              </w:rPr>
            </w:pPr>
            <w:r w:rsidRPr="00D702F5">
              <w:rPr>
                <w:rFonts w:ascii="Calibri" w:eastAsia="Times New Roman" w:hAnsi="Calibri" w:cs="Times New Roman"/>
                <w:color w:val="4F6228" w:themeColor="accent3" w:themeShade="80"/>
                <w:lang w:eastAsia="it-IT"/>
              </w:rPr>
              <w:t>medio</w:t>
            </w:r>
          </w:p>
        </w:tc>
        <w:tc>
          <w:tcPr>
            <w:tcW w:w="1740" w:type="dxa"/>
            <w:tcBorders>
              <w:top w:val="nil"/>
              <w:left w:val="nil"/>
              <w:bottom w:val="nil"/>
              <w:right w:val="nil"/>
            </w:tcBorders>
            <w:shd w:val="clear" w:color="auto" w:fill="auto"/>
            <w:noWrap/>
            <w:vAlign w:val="center"/>
            <w:hideMark/>
          </w:tcPr>
          <w:p w:rsidR="00657D19" w:rsidRPr="00D702F5" w:rsidRDefault="00657D19" w:rsidP="00657D19">
            <w:pPr>
              <w:spacing w:after="0" w:line="240" w:lineRule="auto"/>
              <w:rPr>
                <w:rFonts w:ascii="Calibri" w:eastAsia="Times New Roman" w:hAnsi="Calibri" w:cs="Times New Roman"/>
                <w:color w:val="4F6228" w:themeColor="accent3" w:themeShade="80"/>
                <w:lang w:eastAsia="it-IT"/>
              </w:rPr>
            </w:pPr>
            <w:r w:rsidRPr="00D702F5">
              <w:rPr>
                <w:rFonts w:ascii="Calibri" w:eastAsia="Times New Roman" w:hAnsi="Calibri" w:cs="Times New Roman"/>
                <w:color w:val="4F6228" w:themeColor="accent3" w:themeShade="80"/>
                <w:lang w:eastAsia="it-IT"/>
              </w:rPr>
              <w:t>alto</w:t>
            </w:r>
          </w:p>
        </w:tc>
        <w:tc>
          <w:tcPr>
            <w:tcW w:w="1740" w:type="dxa"/>
            <w:tcBorders>
              <w:top w:val="nil"/>
              <w:left w:val="nil"/>
              <w:bottom w:val="nil"/>
              <w:right w:val="nil"/>
            </w:tcBorders>
            <w:shd w:val="clear" w:color="auto" w:fill="auto"/>
            <w:noWrap/>
            <w:vAlign w:val="center"/>
            <w:hideMark/>
          </w:tcPr>
          <w:p w:rsidR="00657D19" w:rsidRPr="00657D19" w:rsidRDefault="00657D19" w:rsidP="00657D19">
            <w:pPr>
              <w:spacing w:after="0" w:line="240" w:lineRule="auto"/>
              <w:jc w:val="center"/>
              <w:rPr>
                <w:rFonts w:ascii="Calibri" w:eastAsia="Times New Roman" w:hAnsi="Calibri" w:cs="Times New Roman"/>
                <w:color w:val="000000"/>
                <w:lang w:eastAsia="it-IT"/>
              </w:rPr>
            </w:pPr>
          </w:p>
        </w:tc>
      </w:tr>
    </w:tbl>
    <w:p w:rsidR="00827FEA" w:rsidRDefault="00E556EF" w:rsidP="00A51136">
      <w:pPr>
        <w:jc w:val="both"/>
        <w:rPr>
          <w:color w:val="244061" w:themeColor="accent1" w:themeShade="80"/>
        </w:rPr>
      </w:pPr>
      <w:r>
        <w:rPr>
          <w:noProof/>
          <w:color w:val="244061" w:themeColor="accent1" w:themeShade="80"/>
        </w:rPr>
        <w:pict>
          <v:shape id="_x0000_s1035" type="#_x0000_t202" style="position:absolute;left:0;text-align:left;margin-left:143.6pt;margin-top:.4pt;width:348.65pt;height:18.7pt;z-index:251665408;mso-position-horizontal-relative:text;mso-position-vertical-relative:text;mso-width-relative:margin;mso-height-relative:margin">
            <v:textbox style="mso-next-textbox:#_x0000_s1035">
              <w:txbxContent>
                <w:p w:rsidR="00276E41" w:rsidRPr="00A5619A" w:rsidRDefault="00276E41" w:rsidP="0050273F">
                  <w:pPr>
                    <w:jc w:val="center"/>
                    <w:rPr>
                      <w:b/>
                      <w:color w:val="4F6228" w:themeColor="accent3" w:themeShade="80"/>
                    </w:rPr>
                  </w:pPr>
                  <w:r w:rsidRPr="00A5619A">
                    <w:rPr>
                      <w:b/>
                      <w:color w:val="4F6228" w:themeColor="accent3" w:themeShade="80"/>
                    </w:rPr>
                    <w:t>Probabilità</w:t>
                  </w:r>
                </w:p>
              </w:txbxContent>
            </v:textbox>
          </v:shape>
        </w:pict>
      </w:r>
    </w:p>
    <w:p w:rsidR="008877DB" w:rsidRDefault="008877DB" w:rsidP="00A51136">
      <w:pPr>
        <w:jc w:val="both"/>
        <w:rPr>
          <w:b/>
          <w:color w:val="17365D" w:themeColor="text2" w:themeShade="BF"/>
          <w:u w:val="single"/>
        </w:rPr>
      </w:pPr>
    </w:p>
    <w:p w:rsidR="00CA25FC" w:rsidRDefault="00CA25FC" w:rsidP="00A51136">
      <w:pPr>
        <w:jc w:val="both"/>
        <w:rPr>
          <w:b/>
          <w:color w:val="17365D" w:themeColor="text2" w:themeShade="BF"/>
          <w:u w:val="single"/>
        </w:rPr>
      </w:pPr>
    </w:p>
    <w:p w:rsidR="00FF11B6" w:rsidRDefault="00FF11B6" w:rsidP="00FF11B6">
      <w:pPr>
        <w:jc w:val="both"/>
        <w:rPr>
          <w:color w:val="17365D"/>
        </w:rPr>
      </w:pPr>
      <w:r>
        <w:rPr>
          <w:b/>
          <w:color w:val="17365D"/>
          <w:u w:val="single"/>
        </w:rPr>
        <w:lastRenderedPageBreak/>
        <w:t>Come procedere?</w:t>
      </w:r>
      <w:r>
        <w:rPr>
          <w:color w:val="17365D"/>
        </w:rPr>
        <w:t xml:space="preserve"> </w:t>
      </w:r>
    </w:p>
    <w:p w:rsidR="00FF11B6" w:rsidRDefault="00FF11B6" w:rsidP="00FF11B6">
      <w:pPr>
        <w:jc w:val="both"/>
        <w:rPr>
          <w:color w:val="17365D"/>
        </w:rPr>
      </w:pPr>
      <w:r>
        <w:rPr>
          <w:color w:val="17365D"/>
        </w:rPr>
        <w:t xml:space="preserve">Dal 2019, dunque, si passerà ad approccio di </w:t>
      </w:r>
      <w:r>
        <w:rPr>
          <w:i/>
          <w:color w:val="17365D"/>
        </w:rPr>
        <w:t>pesatura</w:t>
      </w:r>
      <w:r>
        <w:rPr>
          <w:color w:val="17365D"/>
        </w:rPr>
        <w:t xml:space="preserve"> di tipo qualitativo, dando ampio spazio alla motivazione della valutazione e garantendo la massima trasparenza. </w:t>
      </w:r>
    </w:p>
    <w:p w:rsidR="00FF11B6" w:rsidRDefault="00FF11B6" w:rsidP="00FF11B6">
      <w:pPr>
        <w:jc w:val="both"/>
        <w:rPr>
          <w:color w:val="17365D"/>
        </w:rPr>
      </w:pPr>
      <w:r>
        <w:rPr>
          <w:color w:val="17365D"/>
        </w:rPr>
        <w:t xml:space="preserve">La rilevazione dei dati e delle informazioni sarà effettuata da parte dei responsabili delle unità organizzative coinvolte nello svolgimento del processo (c.d. self assessment). In ogni caso le valutazioni espresse sarà necessario, sempre, motivarle adeguatamente attraverso l'indicazione di utili evidenze a supporto  fondate su dati oggettivi, salvo documentata indisponibilità degli stessi. Tali dati (per es. i dati sui precedenti giudiziari e/o sui procedimenti disciplinari, segnalazioni, ecc.) consentono una valutazione meno autoreferenziale e una stima più accurata, nonché rendono più solida la motivazione del giudizio espresso. </w:t>
      </w:r>
    </w:p>
    <w:p w:rsidR="00FF11B6" w:rsidRDefault="00FF11B6" w:rsidP="00FF11B6">
      <w:pPr>
        <w:jc w:val="both"/>
        <w:rPr>
          <w:color w:val="17365D"/>
        </w:rPr>
      </w:pPr>
      <w:r>
        <w:rPr>
          <w:color w:val="17365D"/>
        </w:rPr>
        <w:t>Non bisogna dimenticare, in fase di analisi, che è necessario non limitarsi a valutare la possibilità di accadimento del rischio ma occorrerà tenere presente anche l'impatto  del rischio stesso.</w:t>
      </w:r>
    </w:p>
    <w:p w:rsidR="00FF11B6" w:rsidRDefault="00FF11B6" w:rsidP="00FF11B6">
      <w:pPr>
        <w:jc w:val="both"/>
        <w:rPr>
          <w:color w:val="FF0000"/>
        </w:rPr>
      </w:pPr>
      <w:r>
        <w:rPr>
          <w:color w:val="17365D"/>
        </w:rPr>
        <w:t xml:space="preserve">Di seguito si riporta a titolo esemplificativo un elenco di indicatori utile a raggiungere per il prossimo anno l’obiettivo prefissato, fermo restando che lo stesso schema può in futuro - su proposta e motivazione dei referenti o del RPCT -  essere integrato e/o modificato anche in funzione della specificità dell’ attività. </w:t>
      </w:r>
    </w:p>
    <w:p w:rsidR="00657D19" w:rsidRPr="00827FEA" w:rsidRDefault="00E556EF" w:rsidP="00657D19">
      <w:pPr>
        <w:jc w:val="both"/>
        <w:rPr>
          <w:color w:val="FF0000"/>
        </w:rPr>
      </w:pPr>
      <w:r w:rsidRPr="00E556EF">
        <w:rPr>
          <w:noProof/>
        </w:rPr>
        <w:pict>
          <v:shape id="_x0000_s1033" type="#_x0000_t202" style="position:absolute;left:0;text-align:left;margin-left:18.7pt;margin-top:20.25pt;width:452.25pt;height:309.65pt;z-index:251663360;mso-height-percent:200;mso-height-percent:200;mso-width-relative:margin;mso-height-relative:margin" strokecolor="#17365d [2415]" strokeweight="4.5pt">
            <v:stroke linestyle="thickThin"/>
            <v:textbox style="mso-next-textbox:#_x0000_s1033;mso-fit-shape-to-text:t">
              <w:txbxContent>
                <w:p w:rsidR="00276E41" w:rsidRPr="00A6308C" w:rsidRDefault="00276E41" w:rsidP="004C165A">
                  <w:pPr>
                    <w:spacing w:after="0" w:line="240" w:lineRule="auto"/>
                    <w:jc w:val="center"/>
                    <w:rPr>
                      <w:b/>
                      <w:smallCaps/>
                      <w:shadow/>
                      <w:color w:val="17365D" w:themeColor="text2" w:themeShade="BF"/>
                    </w:rPr>
                  </w:pPr>
                  <w:r w:rsidRPr="00A6308C">
                    <w:rPr>
                      <w:b/>
                      <w:smallCaps/>
                      <w:shadow/>
                      <w:color w:val="17365D" w:themeColor="text2" w:themeShade="BF"/>
                    </w:rPr>
                    <w:t>indicatori di stima del livello di rischio</w:t>
                  </w:r>
                </w:p>
                <w:p w:rsidR="00276E41" w:rsidRPr="00A6308C" w:rsidRDefault="00276E41" w:rsidP="004C165A">
                  <w:pPr>
                    <w:spacing w:after="0" w:line="240" w:lineRule="auto"/>
                    <w:jc w:val="center"/>
                    <w:rPr>
                      <w:b/>
                      <w:smallCaps/>
                      <w:shadow/>
                      <w:color w:val="17365D" w:themeColor="text2" w:themeShade="BF"/>
                      <w:sz w:val="18"/>
                      <w:szCs w:val="18"/>
                    </w:rPr>
                  </w:pPr>
                  <w:r w:rsidRPr="00A6308C">
                    <w:rPr>
                      <w:b/>
                      <w:smallCaps/>
                      <w:shadow/>
                      <w:color w:val="17365D" w:themeColor="text2" w:themeShade="BF"/>
                      <w:sz w:val="18"/>
                      <w:szCs w:val="18"/>
                    </w:rPr>
                    <w:t>(Utili al fine della valutazione delle probabilita’ )</w:t>
                  </w:r>
                </w:p>
                <w:p w:rsidR="00276E41" w:rsidRPr="004C165A" w:rsidRDefault="00276E41" w:rsidP="004C165A">
                  <w:pPr>
                    <w:spacing w:after="0" w:line="240" w:lineRule="auto"/>
                    <w:jc w:val="center"/>
                    <w:rPr>
                      <w:b/>
                      <w:smallCaps/>
                      <w:shadow/>
                      <w:sz w:val="18"/>
                      <w:szCs w:val="18"/>
                    </w:rPr>
                  </w:pPr>
                </w:p>
                <w:p w:rsidR="00276E41" w:rsidRPr="00031F14" w:rsidRDefault="00276E41" w:rsidP="00657D19">
                  <w:pPr>
                    <w:pStyle w:val="Paragrafoelenco"/>
                    <w:numPr>
                      <w:ilvl w:val="0"/>
                      <w:numId w:val="6"/>
                    </w:numPr>
                    <w:rPr>
                      <w:b/>
                      <w:smallCaps/>
                      <w:shadow/>
                      <w:color w:val="17365D" w:themeColor="text2" w:themeShade="BF"/>
                    </w:rPr>
                  </w:pPr>
                  <w:r w:rsidRPr="00031F14">
                    <w:rPr>
                      <w:color w:val="17365D" w:themeColor="text2" w:themeShade="BF"/>
                      <w:u w:val="single"/>
                    </w:rPr>
                    <w:t>livello di interesse “esterno”</w:t>
                  </w:r>
                  <w:r w:rsidRPr="00031F14">
                    <w:rPr>
                      <w:color w:val="17365D" w:themeColor="text2" w:themeShade="BF"/>
                    </w:rPr>
                    <w:t xml:space="preserve">: </w:t>
                  </w:r>
                  <w:r>
                    <w:rPr>
                      <w:color w:val="17365D" w:themeColor="text2" w:themeShade="BF"/>
                    </w:rPr>
                    <w:t xml:space="preserve">valutare </w:t>
                  </w:r>
                  <w:r w:rsidRPr="00031F14">
                    <w:rPr>
                      <w:color w:val="17365D" w:themeColor="text2" w:themeShade="BF"/>
                    </w:rPr>
                    <w:t>la presenza di interessi, anche economici, rilevanti e</w:t>
                  </w:r>
                  <w:r>
                    <w:rPr>
                      <w:color w:val="17365D" w:themeColor="text2" w:themeShade="BF"/>
                    </w:rPr>
                    <w:t>/o</w:t>
                  </w:r>
                  <w:r w:rsidRPr="00031F14">
                    <w:rPr>
                      <w:color w:val="17365D" w:themeColor="text2" w:themeShade="BF"/>
                    </w:rPr>
                    <w:t xml:space="preserve"> di benefici per i destinatari del processo </w:t>
                  </w:r>
                  <w:r>
                    <w:rPr>
                      <w:color w:val="17365D" w:themeColor="text2" w:themeShade="BF"/>
                    </w:rPr>
                    <w:t xml:space="preserve">che </w:t>
                  </w:r>
                  <w:r w:rsidRPr="00031F14">
                    <w:rPr>
                      <w:color w:val="17365D" w:themeColor="text2" w:themeShade="BF"/>
                    </w:rPr>
                    <w:t>determina</w:t>
                  </w:r>
                  <w:r>
                    <w:rPr>
                      <w:color w:val="17365D" w:themeColor="text2" w:themeShade="BF"/>
                    </w:rPr>
                    <w:t>no</w:t>
                  </w:r>
                  <w:r w:rsidRPr="00031F14">
                    <w:rPr>
                      <w:color w:val="17365D" w:themeColor="text2" w:themeShade="BF"/>
                    </w:rPr>
                    <w:t xml:space="preserve"> un incremento del rischio; </w:t>
                  </w:r>
                </w:p>
                <w:p w:rsidR="00276E41" w:rsidRPr="00031F14" w:rsidRDefault="00276E41" w:rsidP="00657D19">
                  <w:pPr>
                    <w:pStyle w:val="Paragrafoelenco"/>
                    <w:numPr>
                      <w:ilvl w:val="0"/>
                      <w:numId w:val="6"/>
                    </w:numPr>
                    <w:rPr>
                      <w:b/>
                      <w:smallCaps/>
                      <w:shadow/>
                      <w:color w:val="17365D" w:themeColor="text2" w:themeShade="BF"/>
                    </w:rPr>
                  </w:pPr>
                  <w:r w:rsidRPr="00031F14">
                    <w:rPr>
                      <w:color w:val="17365D" w:themeColor="text2" w:themeShade="BF"/>
                      <w:u w:val="single"/>
                    </w:rPr>
                    <w:t>grado di discrezionalità del decisore/operatore</w:t>
                  </w:r>
                  <w:r w:rsidRPr="00031F14">
                    <w:rPr>
                      <w:color w:val="17365D" w:themeColor="text2" w:themeShade="BF"/>
                    </w:rPr>
                    <w:t xml:space="preserve">: </w:t>
                  </w:r>
                  <w:r>
                    <w:rPr>
                      <w:color w:val="17365D" w:themeColor="text2" w:themeShade="BF"/>
                    </w:rPr>
                    <w:t xml:space="preserve">considerare  </w:t>
                  </w:r>
                  <w:r w:rsidRPr="00031F14">
                    <w:rPr>
                      <w:color w:val="17365D" w:themeColor="text2" w:themeShade="BF"/>
                    </w:rPr>
                    <w:t xml:space="preserve">la presenza </w:t>
                  </w:r>
                  <w:r>
                    <w:rPr>
                      <w:color w:val="17365D" w:themeColor="text2" w:themeShade="BF"/>
                    </w:rPr>
                    <w:t xml:space="preserve">o meno </w:t>
                  </w:r>
                  <w:r w:rsidRPr="00031F14">
                    <w:rPr>
                      <w:color w:val="17365D" w:themeColor="text2" w:themeShade="BF"/>
                    </w:rPr>
                    <w:t xml:space="preserve">di un processo decisionale altamente discrezionale </w:t>
                  </w:r>
                  <w:r>
                    <w:rPr>
                      <w:color w:val="17365D" w:themeColor="text2" w:themeShade="BF"/>
                    </w:rPr>
                    <w:t xml:space="preserve">che </w:t>
                  </w:r>
                  <w:r w:rsidRPr="00031F14">
                    <w:rPr>
                      <w:color w:val="17365D" w:themeColor="text2" w:themeShade="BF"/>
                    </w:rPr>
                    <w:t xml:space="preserve">determina un incremento del rischio rispetto ad un processo decisionale altamente vincolato; </w:t>
                  </w:r>
                </w:p>
                <w:p w:rsidR="00276E41" w:rsidRPr="00031F14" w:rsidRDefault="00276E41" w:rsidP="00657D19">
                  <w:pPr>
                    <w:pStyle w:val="Paragrafoelenco"/>
                    <w:numPr>
                      <w:ilvl w:val="0"/>
                      <w:numId w:val="6"/>
                    </w:numPr>
                    <w:rPr>
                      <w:b/>
                      <w:smallCaps/>
                      <w:shadow/>
                      <w:color w:val="17365D" w:themeColor="text2" w:themeShade="BF"/>
                    </w:rPr>
                  </w:pPr>
                  <w:r w:rsidRPr="00031F14">
                    <w:rPr>
                      <w:color w:val="17365D" w:themeColor="text2" w:themeShade="BF"/>
                      <w:u w:val="single"/>
                    </w:rPr>
                    <w:t>manifestazione di eventi corruttivi in passato nel processo/attività esaminata</w:t>
                  </w:r>
                  <w:r w:rsidRPr="00031F14">
                    <w:rPr>
                      <w:color w:val="17365D" w:themeColor="text2" w:themeShade="BF"/>
                    </w:rPr>
                    <w:t xml:space="preserve">: </w:t>
                  </w:r>
                  <w:r>
                    <w:rPr>
                      <w:color w:val="17365D" w:themeColor="text2" w:themeShade="BF"/>
                    </w:rPr>
                    <w:t xml:space="preserve">osservare </w:t>
                  </w:r>
                  <w:r w:rsidRPr="00031F14">
                    <w:rPr>
                      <w:color w:val="17365D" w:themeColor="text2" w:themeShade="BF"/>
                    </w:rPr>
                    <w:t xml:space="preserve">se l’attività è stata già oggetto di eventi corruttivi in passato nell’amministrazione o in altre realtà simili, </w:t>
                  </w:r>
                  <w:r>
                    <w:rPr>
                      <w:color w:val="17365D" w:themeColor="text2" w:themeShade="BF"/>
                    </w:rPr>
                    <w:t xml:space="preserve">in tal caso </w:t>
                  </w:r>
                  <w:r w:rsidRPr="00031F14">
                    <w:rPr>
                      <w:color w:val="17365D" w:themeColor="text2" w:themeShade="BF"/>
                    </w:rPr>
                    <w:t>il rischio aumenta poiché quella attività ha delle caratteristiche che rendono attuabili gli eventi corruttivi;</w:t>
                  </w:r>
                </w:p>
                <w:p w:rsidR="00276E41" w:rsidRPr="00031F14" w:rsidRDefault="00276E41" w:rsidP="00657D19">
                  <w:pPr>
                    <w:pStyle w:val="Paragrafoelenco"/>
                    <w:numPr>
                      <w:ilvl w:val="0"/>
                      <w:numId w:val="6"/>
                    </w:numPr>
                    <w:rPr>
                      <w:b/>
                      <w:smallCaps/>
                      <w:shadow/>
                      <w:color w:val="17365D" w:themeColor="text2" w:themeShade="BF"/>
                    </w:rPr>
                  </w:pPr>
                  <w:r w:rsidRPr="00031F14">
                    <w:rPr>
                      <w:color w:val="17365D" w:themeColor="text2" w:themeShade="BF"/>
                    </w:rPr>
                    <w:t xml:space="preserve"> </w:t>
                  </w:r>
                  <w:r w:rsidRPr="00031F14">
                    <w:rPr>
                      <w:color w:val="17365D" w:themeColor="text2" w:themeShade="BF"/>
                      <w:u w:val="single"/>
                    </w:rPr>
                    <w:t>opacità del processo decisionale</w:t>
                  </w:r>
                  <w:r w:rsidRPr="00031F14">
                    <w:rPr>
                      <w:color w:val="17365D" w:themeColor="text2" w:themeShade="BF"/>
                    </w:rPr>
                    <w:t xml:space="preserve">: </w:t>
                  </w:r>
                  <w:r>
                    <w:rPr>
                      <w:color w:val="17365D" w:themeColor="text2" w:themeShade="BF"/>
                    </w:rPr>
                    <w:t xml:space="preserve">considerare se </w:t>
                  </w:r>
                  <w:r w:rsidRPr="00031F14">
                    <w:rPr>
                      <w:color w:val="17365D" w:themeColor="text2" w:themeShade="BF"/>
                    </w:rPr>
                    <w:t>l’adozione di strumenti di trasparenza sostanziale, e non solo formale, ridu</w:t>
                  </w:r>
                  <w:r>
                    <w:rPr>
                      <w:color w:val="17365D" w:themeColor="text2" w:themeShade="BF"/>
                    </w:rPr>
                    <w:t>rrebbe</w:t>
                  </w:r>
                  <w:r w:rsidRPr="00031F14">
                    <w:rPr>
                      <w:color w:val="17365D" w:themeColor="text2" w:themeShade="BF"/>
                    </w:rPr>
                    <w:t xml:space="preserve"> il rischio; </w:t>
                  </w:r>
                </w:p>
                <w:p w:rsidR="00276E41" w:rsidRPr="00031F14" w:rsidRDefault="00276E41" w:rsidP="00657D19">
                  <w:pPr>
                    <w:pStyle w:val="Paragrafoelenco"/>
                    <w:numPr>
                      <w:ilvl w:val="0"/>
                      <w:numId w:val="6"/>
                    </w:numPr>
                    <w:rPr>
                      <w:b/>
                      <w:smallCaps/>
                      <w:shadow/>
                      <w:color w:val="17365D" w:themeColor="text2" w:themeShade="BF"/>
                    </w:rPr>
                  </w:pPr>
                  <w:r w:rsidRPr="00031F14">
                    <w:rPr>
                      <w:color w:val="17365D" w:themeColor="text2" w:themeShade="BF"/>
                      <w:u w:val="single"/>
                    </w:rPr>
                    <w:t>livello di collaborazione del responsabile del processo o dell’attività nella costruzione, aggiornamento e monitoraggio del piano</w:t>
                  </w:r>
                  <w:r w:rsidRPr="00031F14">
                    <w:rPr>
                      <w:color w:val="17365D" w:themeColor="text2" w:themeShade="BF"/>
                    </w:rPr>
                    <w:t>: la scarsa collaborazione può segnalare un deficit di attenzione al tema della prevenzione della corruzione o comunque risultare in una opacità sul reale grado di rischiosità</w:t>
                  </w:r>
                  <w:r>
                    <w:rPr>
                      <w:color w:val="17365D" w:themeColor="text2" w:themeShade="BF"/>
                    </w:rPr>
                    <w:t>, in ACI sono i referenti e i responsabili di struttura a verificare e monitorare rischi e misure – tra l’altro tale impegno è legato al Piano di valutazione delle Performance – rilevare se ci sono carenze e mancanze di collaborazione</w:t>
                  </w:r>
                  <w:r w:rsidRPr="00031F14">
                    <w:rPr>
                      <w:color w:val="17365D" w:themeColor="text2" w:themeShade="BF"/>
                    </w:rPr>
                    <w:t xml:space="preserve">; </w:t>
                  </w:r>
                </w:p>
                <w:p w:rsidR="00276E41" w:rsidRPr="00031F14" w:rsidRDefault="00276E41" w:rsidP="00657D19">
                  <w:pPr>
                    <w:pStyle w:val="Paragrafoelenco"/>
                    <w:numPr>
                      <w:ilvl w:val="0"/>
                      <w:numId w:val="6"/>
                    </w:numPr>
                    <w:rPr>
                      <w:b/>
                      <w:smallCaps/>
                      <w:shadow/>
                      <w:color w:val="17365D" w:themeColor="text2" w:themeShade="BF"/>
                    </w:rPr>
                  </w:pPr>
                  <w:r w:rsidRPr="00031F14">
                    <w:rPr>
                      <w:color w:val="17365D" w:themeColor="text2" w:themeShade="BF"/>
                      <w:u w:val="single"/>
                    </w:rPr>
                    <w:t>esistenza di misure di trattamento e attuazione effettiva delle stesse</w:t>
                  </w:r>
                  <w:r w:rsidRPr="00031F14">
                    <w:rPr>
                      <w:color w:val="17365D" w:themeColor="text2" w:themeShade="BF"/>
                    </w:rPr>
                    <w:t xml:space="preserve">: </w:t>
                  </w:r>
                  <w:r>
                    <w:rPr>
                      <w:color w:val="17365D" w:themeColor="text2" w:themeShade="BF"/>
                    </w:rPr>
                    <w:t xml:space="preserve">già esistenti, e applicata </w:t>
                  </w:r>
                  <w:r w:rsidRPr="00031F14">
                    <w:rPr>
                      <w:color w:val="17365D" w:themeColor="text2" w:themeShade="BF"/>
                    </w:rPr>
                    <w:t>attuazione di misure di trattamento</w:t>
                  </w:r>
                  <w:r>
                    <w:rPr>
                      <w:color w:val="17365D" w:themeColor="text2" w:themeShade="BF"/>
                    </w:rPr>
                    <w:t>,</w:t>
                  </w:r>
                  <w:r w:rsidRPr="00031F14">
                    <w:rPr>
                      <w:color w:val="17365D" w:themeColor="text2" w:themeShade="BF"/>
                    </w:rPr>
                    <w:t xml:space="preserve"> </w:t>
                  </w:r>
                  <w:r>
                    <w:rPr>
                      <w:color w:val="17365D" w:themeColor="text2" w:themeShade="BF"/>
                    </w:rPr>
                    <w:t xml:space="preserve">a cui </w:t>
                  </w:r>
                  <w:r w:rsidRPr="00031F14">
                    <w:rPr>
                      <w:color w:val="17365D" w:themeColor="text2" w:themeShade="BF"/>
                    </w:rPr>
                    <w:t>si associa una minore possibilità di accadimento di fatti corruttivi</w:t>
                  </w:r>
                  <w:r>
                    <w:rPr>
                      <w:color w:val="17365D" w:themeColor="text2" w:themeShade="BF"/>
                    </w:rPr>
                    <w:t>.</w:t>
                  </w:r>
                </w:p>
              </w:txbxContent>
            </v:textbox>
          </v:shape>
        </w:pict>
      </w:r>
    </w:p>
    <w:p w:rsidR="00657D19" w:rsidRPr="00827FEA" w:rsidRDefault="00657D19" w:rsidP="00657D19">
      <w:pPr>
        <w:jc w:val="both"/>
        <w:rPr>
          <w:color w:val="FF0000"/>
        </w:rPr>
      </w:pPr>
    </w:p>
    <w:p w:rsidR="00657D19" w:rsidRPr="00827FEA" w:rsidRDefault="00657D19" w:rsidP="00657D19">
      <w:pPr>
        <w:jc w:val="both"/>
        <w:rPr>
          <w:color w:val="FF0000"/>
        </w:rPr>
      </w:pPr>
    </w:p>
    <w:p w:rsidR="00657D19" w:rsidRPr="00827FEA" w:rsidRDefault="00657D19" w:rsidP="00657D19">
      <w:pPr>
        <w:jc w:val="both"/>
        <w:rPr>
          <w:color w:val="FF0000"/>
        </w:rPr>
      </w:pPr>
    </w:p>
    <w:p w:rsidR="00657D19" w:rsidRPr="00827FEA" w:rsidRDefault="00657D19" w:rsidP="00657D19">
      <w:pPr>
        <w:jc w:val="both"/>
        <w:rPr>
          <w:color w:val="FF0000"/>
        </w:rPr>
      </w:pPr>
    </w:p>
    <w:p w:rsidR="00657D19" w:rsidRPr="00827FEA" w:rsidRDefault="00657D19" w:rsidP="00657D19">
      <w:pPr>
        <w:jc w:val="both"/>
        <w:rPr>
          <w:color w:val="FF0000"/>
        </w:rPr>
      </w:pPr>
    </w:p>
    <w:p w:rsidR="00657D19" w:rsidRPr="00827FEA" w:rsidRDefault="00657D19" w:rsidP="00657D19">
      <w:pPr>
        <w:jc w:val="both"/>
        <w:rPr>
          <w:color w:val="FF0000"/>
        </w:rPr>
      </w:pPr>
    </w:p>
    <w:p w:rsidR="00657D19" w:rsidRDefault="00657D19" w:rsidP="00A51136">
      <w:pPr>
        <w:jc w:val="both"/>
        <w:rPr>
          <w:color w:val="FF0000"/>
        </w:rPr>
      </w:pPr>
    </w:p>
    <w:p w:rsidR="00D67A77" w:rsidRDefault="00D67A77" w:rsidP="00A51136">
      <w:pPr>
        <w:jc w:val="both"/>
        <w:rPr>
          <w:color w:val="FF0000"/>
        </w:rPr>
      </w:pPr>
    </w:p>
    <w:p w:rsidR="00D67A77" w:rsidRDefault="00D67A77" w:rsidP="00A51136">
      <w:pPr>
        <w:jc w:val="both"/>
        <w:rPr>
          <w:color w:val="FF0000"/>
        </w:rPr>
      </w:pPr>
    </w:p>
    <w:p w:rsidR="00D67A77" w:rsidRDefault="00D67A77" w:rsidP="00A51136">
      <w:pPr>
        <w:jc w:val="both"/>
        <w:rPr>
          <w:color w:val="FF0000"/>
        </w:rPr>
      </w:pPr>
    </w:p>
    <w:p w:rsidR="00D67A77" w:rsidRDefault="00D67A77" w:rsidP="00A51136">
      <w:pPr>
        <w:jc w:val="both"/>
        <w:rPr>
          <w:color w:val="FF0000"/>
        </w:rPr>
      </w:pPr>
    </w:p>
    <w:p w:rsidR="000C0B62" w:rsidRDefault="000C0B62" w:rsidP="00A51136">
      <w:pPr>
        <w:jc w:val="both"/>
        <w:rPr>
          <w:color w:val="FF0000"/>
        </w:rPr>
      </w:pPr>
    </w:p>
    <w:p w:rsidR="00420727" w:rsidRPr="00827FEA" w:rsidRDefault="00420727">
      <w:pPr>
        <w:rPr>
          <w:color w:val="FF0000"/>
        </w:rPr>
      </w:pPr>
      <w:r w:rsidRPr="00827FEA">
        <w:rPr>
          <w:color w:val="FF0000"/>
        </w:rPr>
        <w:br w:type="page"/>
      </w:r>
    </w:p>
    <w:p w:rsidR="00420727" w:rsidRPr="00827FEA" w:rsidRDefault="00E556EF" w:rsidP="00721948">
      <w:pPr>
        <w:jc w:val="both"/>
        <w:rPr>
          <w:color w:val="FF0000"/>
        </w:rPr>
      </w:pPr>
      <w:r>
        <w:rPr>
          <w:noProof/>
          <w:color w:val="FF0000"/>
          <w:lang w:eastAsia="it-IT"/>
        </w:rPr>
        <w:lastRenderedPageBreak/>
        <w:pict>
          <v:shape id="_x0000_s1029" type="#_x0000_t202" style="position:absolute;left:0;text-align:left;margin-left:14.55pt;margin-top:-16.15pt;width:452.25pt;height:360.35pt;z-index:251661312;mso-height-percent:200;mso-height-percent:200;mso-width-relative:margin;mso-height-relative:margin" strokecolor="#17365d [2415]" strokeweight="4.5pt">
            <v:stroke linestyle="thickThin"/>
            <v:textbox style="mso-next-textbox:#_x0000_s1029;mso-fit-shape-to-text:t">
              <w:txbxContent>
                <w:p w:rsidR="00276E41" w:rsidRPr="005A5779" w:rsidRDefault="00276E41" w:rsidP="00E514D4">
                  <w:pPr>
                    <w:jc w:val="center"/>
                    <w:rPr>
                      <w:color w:val="17365D" w:themeColor="text2" w:themeShade="BF"/>
                    </w:rPr>
                  </w:pPr>
                  <w:r w:rsidRPr="005A5779">
                    <w:rPr>
                      <w:b/>
                      <w:smallCaps/>
                      <w:shadow/>
                      <w:color w:val="17365D" w:themeColor="text2" w:themeShade="BF"/>
                    </w:rPr>
                    <w:t>Dati oggettivi per la stima del rischio</w:t>
                  </w:r>
                  <w:r w:rsidRPr="005A5779">
                    <w:rPr>
                      <w:color w:val="17365D" w:themeColor="text2" w:themeShade="BF"/>
                    </w:rPr>
                    <w:t xml:space="preserve"> </w:t>
                  </w:r>
                </w:p>
                <w:p w:rsidR="00276E41" w:rsidRPr="00732323" w:rsidRDefault="00276E41" w:rsidP="00E514D4">
                  <w:pPr>
                    <w:jc w:val="both"/>
                    <w:rPr>
                      <w:rFonts w:ascii="Calibri" w:eastAsia="Times New Roman" w:hAnsi="Calibri" w:cs="Times New Roman"/>
                      <w:b/>
                      <w:bCs/>
                      <w:color w:val="800000"/>
                      <w:sz w:val="18"/>
                      <w:szCs w:val="18"/>
                      <w:lang w:eastAsia="it-IT"/>
                    </w:rPr>
                  </w:pPr>
                  <w:r w:rsidRPr="005A5779">
                    <w:rPr>
                      <w:color w:val="17365D" w:themeColor="text2" w:themeShade="BF"/>
                    </w:rPr>
                    <w:t>Per migliorare il processo di misurazione del livello di rischio è necessario supportare l’analisi di tipo qualitativo con l’esame dei dati statistici che possono essere utilizzati per stimare la frequenza di accadimento futuro degli eventi corruttivi. In particolare si suggerisce di utilizzare</w:t>
                  </w:r>
                  <w:r>
                    <w:rPr>
                      <w:color w:val="17365D" w:themeColor="text2" w:themeShade="BF"/>
                    </w:rPr>
                    <w:t xml:space="preserve"> </w:t>
                  </w:r>
                  <w:r w:rsidRPr="00732323">
                    <w:rPr>
                      <w:color w:val="0F243E" w:themeColor="text2" w:themeShade="80"/>
                      <w:sz w:val="16"/>
                      <w:szCs w:val="16"/>
                    </w:rPr>
                    <w:t>(</w:t>
                  </w:r>
                  <w:r w:rsidRPr="00732323">
                    <w:rPr>
                      <w:rFonts w:ascii="Calibri" w:eastAsia="Times New Roman" w:hAnsi="Calibri" w:cs="Times New Roman"/>
                      <w:bCs/>
                      <w:i/>
                      <w:color w:val="0F243E" w:themeColor="text2" w:themeShade="80"/>
                      <w:sz w:val="16"/>
                      <w:szCs w:val="16"/>
                      <w:lang w:eastAsia="it-IT"/>
                    </w:rPr>
                    <w:t>DATI, EVIDENZE E MOTIVAZIONE DELLA MISURA APPLICATA</w:t>
                  </w:r>
                  <w:r w:rsidRPr="00732323">
                    <w:rPr>
                      <w:rFonts w:ascii="Calibri" w:eastAsia="Times New Roman" w:hAnsi="Calibri" w:cs="Times New Roman"/>
                      <w:b/>
                      <w:bCs/>
                      <w:color w:val="0F243E" w:themeColor="text2" w:themeShade="80"/>
                      <w:sz w:val="16"/>
                      <w:szCs w:val="16"/>
                      <w:lang w:eastAsia="it-IT"/>
                    </w:rPr>
                    <w:t>)</w:t>
                  </w:r>
                  <w:r w:rsidRPr="00732323">
                    <w:rPr>
                      <w:color w:val="0F243E" w:themeColor="text2" w:themeShade="80"/>
                      <w:sz w:val="16"/>
                      <w:szCs w:val="16"/>
                    </w:rPr>
                    <w:t>:</w:t>
                  </w:r>
                  <w:r w:rsidRPr="005A5779">
                    <w:rPr>
                      <w:color w:val="17365D" w:themeColor="text2" w:themeShade="BF"/>
                    </w:rPr>
                    <w:t xml:space="preserve"> </w:t>
                  </w:r>
                </w:p>
                <w:p w:rsidR="00276E41" w:rsidRPr="001E25CB" w:rsidRDefault="00276E41" w:rsidP="00E514D4">
                  <w:pPr>
                    <w:pStyle w:val="Paragrafoelenco"/>
                    <w:numPr>
                      <w:ilvl w:val="0"/>
                      <w:numId w:val="7"/>
                    </w:numPr>
                    <w:jc w:val="both"/>
                    <w:rPr>
                      <w:color w:val="17365D" w:themeColor="text2" w:themeShade="BF"/>
                      <w:sz w:val="20"/>
                      <w:szCs w:val="20"/>
                    </w:rPr>
                  </w:pPr>
                  <w:r w:rsidRPr="001E25CB">
                    <w:rPr>
                      <w:color w:val="17365D" w:themeColor="text2" w:themeShade="BF"/>
                      <w:sz w:val="20"/>
                      <w:szCs w:val="20"/>
                    </w:rPr>
                    <w:t xml:space="preserve">i dati sui precedenti giudiziari e/o sui procedimenti disciplinari a carico dei dipendenti dell’amministrazione. Le fattispecie che possono essere considerate sono le sentenze passate in giudicato, i procedimenti in corso, e i decreti di citazione a giudizio riguardanti:  reati contro la PA - il falso e la truffa - procedimenti aperti per responsabilità amministrativo/contabile (Corte dei Conti) - i ricorsi amministrativi in tema di affidamento di contratti pubblici. </w:t>
                  </w:r>
                  <w:r w:rsidRPr="005A5779">
                    <w:rPr>
                      <w:color w:val="17365D" w:themeColor="text2" w:themeShade="BF"/>
                      <w:sz w:val="20"/>
                      <w:szCs w:val="20"/>
                    </w:rPr>
                    <w:t>Tali dati possono essere reperiti dall’Ufficio Legale dell’amministrazione o tramite l’Avvocatura (se presenti all’interno dell’amministrazione), o dall’Ufficio procedimenti disciplinari e l’Ufficio Approvvigionamenti/Contratti. Si può ricorrere anche alle banche dati on-line già attive e liberamente accessibili (es. es. Banca dati delle sentenze</w:t>
                  </w:r>
                  <w:r w:rsidRPr="001E25CB">
                    <w:rPr>
                      <w:color w:val="17365D" w:themeColor="text2" w:themeShade="BF"/>
                      <w:sz w:val="20"/>
                      <w:szCs w:val="20"/>
                    </w:rPr>
                    <w:t xml:space="preserve"> </w:t>
                  </w:r>
                  <w:r w:rsidRPr="005A5779">
                    <w:rPr>
                      <w:color w:val="17365D" w:themeColor="text2" w:themeShade="BF"/>
                      <w:sz w:val="20"/>
                      <w:szCs w:val="20"/>
                    </w:rPr>
                    <w:t>della Corte dei Conti, Banca dati delle</w:t>
                  </w:r>
                  <w:r w:rsidRPr="001E25CB">
                    <w:rPr>
                      <w:color w:val="17365D" w:themeColor="text2" w:themeShade="BF"/>
                      <w:sz w:val="20"/>
                      <w:szCs w:val="20"/>
                    </w:rPr>
                    <w:t xml:space="preserve"> </w:t>
                  </w:r>
                  <w:r w:rsidRPr="005A5779">
                    <w:rPr>
                      <w:color w:val="17365D" w:themeColor="text2" w:themeShade="BF"/>
                      <w:sz w:val="20"/>
                      <w:szCs w:val="20"/>
                    </w:rPr>
                    <w:t>sentenze della Corte Suprema di Cassazione).</w:t>
                  </w:r>
                  <w:r w:rsidRPr="001E25CB">
                    <w:rPr>
                      <w:color w:val="17365D" w:themeColor="text2" w:themeShade="BF"/>
                      <w:sz w:val="20"/>
                      <w:szCs w:val="20"/>
                    </w:rPr>
                    <w:t xml:space="preserve"> </w:t>
                  </w:r>
                </w:p>
                <w:p w:rsidR="00276E41" w:rsidRPr="001E25CB" w:rsidRDefault="00276E41" w:rsidP="00E514D4">
                  <w:pPr>
                    <w:pStyle w:val="Paragrafoelenco"/>
                    <w:numPr>
                      <w:ilvl w:val="0"/>
                      <w:numId w:val="7"/>
                    </w:numPr>
                    <w:jc w:val="both"/>
                    <w:rPr>
                      <w:color w:val="17365D" w:themeColor="text2" w:themeShade="BF"/>
                      <w:sz w:val="20"/>
                      <w:szCs w:val="20"/>
                    </w:rPr>
                  </w:pPr>
                  <w:r w:rsidRPr="001E25CB">
                    <w:rPr>
                      <w:color w:val="17365D" w:themeColor="text2" w:themeShade="BF"/>
                      <w:sz w:val="20"/>
                      <w:szCs w:val="20"/>
                    </w:rPr>
                    <w:t xml:space="preserve">le segnalazioni pervenute, nel cui ambito rientrano certamente le segnalazioni ricevute tramite apposite procedure di whistleblowing, ma anche quelle pervenute dall’esterno dell’amministrazione o pervenute in altre modalità. Considerare, anche, il dato relativo ai reclami e alle risultanze di indagini di customer satisfaction, che possono indirizzare l’attenzione su possibili malfunzionamenti o sulla malagestione di taluni processi organizzativi. </w:t>
                  </w:r>
                </w:p>
                <w:p w:rsidR="00276E41" w:rsidRPr="001E25CB" w:rsidRDefault="00276E41" w:rsidP="00E514D4">
                  <w:pPr>
                    <w:pStyle w:val="Paragrafoelenco"/>
                    <w:numPr>
                      <w:ilvl w:val="0"/>
                      <w:numId w:val="7"/>
                    </w:numPr>
                    <w:jc w:val="both"/>
                    <w:rPr>
                      <w:color w:val="17365D" w:themeColor="text2" w:themeShade="BF"/>
                      <w:sz w:val="20"/>
                      <w:szCs w:val="20"/>
                    </w:rPr>
                  </w:pPr>
                  <w:r w:rsidRPr="001E25CB">
                    <w:rPr>
                      <w:color w:val="17365D" w:themeColor="text2" w:themeShade="BF"/>
                      <w:sz w:val="20"/>
                      <w:szCs w:val="20"/>
                    </w:rPr>
                    <w:t>ulteriori dati in possesso dell’amministrazione (es. rassegne stampa, ecc.).</w:t>
                  </w:r>
                </w:p>
              </w:txbxContent>
            </v:textbox>
          </v:shape>
        </w:pict>
      </w:r>
    </w:p>
    <w:p w:rsidR="00E514D4" w:rsidRPr="00827FEA" w:rsidRDefault="00E514D4" w:rsidP="00721948">
      <w:pPr>
        <w:jc w:val="both"/>
        <w:rPr>
          <w:color w:val="FF0000"/>
        </w:rPr>
      </w:pPr>
    </w:p>
    <w:p w:rsidR="00E514D4" w:rsidRPr="00827FEA" w:rsidRDefault="00E514D4" w:rsidP="00721948">
      <w:pPr>
        <w:jc w:val="both"/>
        <w:rPr>
          <w:color w:val="FF0000"/>
        </w:rPr>
      </w:pPr>
    </w:p>
    <w:p w:rsidR="00E514D4" w:rsidRPr="00827FEA" w:rsidRDefault="00E514D4" w:rsidP="00721948">
      <w:pPr>
        <w:jc w:val="both"/>
        <w:rPr>
          <w:color w:val="FF0000"/>
        </w:rPr>
      </w:pPr>
    </w:p>
    <w:p w:rsidR="00E514D4" w:rsidRPr="00827FEA" w:rsidRDefault="00E514D4" w:rsidP="00721948">
      <w:pPr>
        <w:jc w:val="both"/>
        <w:rPr>
          <w:color w:val="FF0000"/>
        </w:rPr>
      </w:pPr>
    </w:p>
    <w:p w:rsidR="00E514D4" w:rsidRPr="00827FEA" w:rsidRDefault="00E514D4" w:rsidP="00721948">
      <w:pPr>
        <w:jc w:val="both"/>
        <w:rPr>
          <w:color w:val="FF0000"/>
        </w:rPr>
      </w:pPr>
    </w:p>
    <w:p w:rsidR="00E514D4" w:rsidRPr="00827FEA" w:rsidRDefault="00E514D4" w:rsidP="00721948">
      <w:pPr>
        <w:jc w:val="both"/>
        <w:rPr>
          <w:color w:val="FF0000"/>
        </w:rPr>
      </w:pPr>
    </w:p>
    <w:p w:rsidR="00E514D4" w:rsidRPr="00827FEA" w:rsidRDefault="00E514D4" w:rsidP="00721948">
      <w:pPr>
        <w:jc w:val="both"/>
        <w:rPr>
          <w:color w:val="FF0000"/>
        </w:rPr>
      </w:pPr>
    </w:p>
    <w:p w:rsidR="00E514D4" w:rsidRPr="00827FEA" w:rsidRDefault="00E514D4" w:rsidP="00721948">
      <w:pPr>
        <w:jc w:val="both"/>
        <w:rPr>
          <w:color w:val="FF0000"/>
        </w:rPr>
      </w:pPr>
    </w:p>
    <w:p w:rsidR="00E514D4" w:rsidRPr="00827FEA" w:rsidRDefault="00E514D4" w:rsidP="00721948">
      <w:pPr>
        <w:jc w:val="both"/>
        <w:rPr>
          <w:color w:val="FF0000"/>
        </w:rPr>
      </w:pPr>
    </w:p>
    <w:p w:rsidR="00420727" w:rsidRPr="00827FEA" w:rsidRDefault="00420727" w:rsidP="00721948">
      <w:pPr>
        <w:jc w:val="both"/>
        <w:rPr>
          <w:color w:val="FF0000"/>
        </w:rPr>
      </w:pPr>
    </w:p>
    <w:p w:rsidR="00420727" w:rsidRPr="00827FEA" w:rsidRDefault="00420727" w:rsidP="00721948">
      <w:pPr>
        <w:jc w:val="both"/>
        <w:rPr>
          <w:color w:val="FF0000"/>
        </w:rPr>
      </w:pPr>
    </w:p>
    <w:p w:rsidR="00420727" w:rsidRPr="00827FEA" w:rsidRDefault="00420727" w:rsidP="00721948">
      <w:pPr>
        <w:jc w:val="both"/>
        <w:rPr>
          <w:color w:val="FF0000"/>
        </w:rPr>
      </w:pPr>
    </w:p>
    <w:p w:rsidR="00420727" w:rsidRPr="00827FEA" w:rsidRDefault="00420727" w:rsidP="00721948">
      <w:pPr>
        <w:jc w:val="both"/>
        <w:rPr>
          <w:color w:val="FF0000"/>
        </w:rPr>
      </w:pPr>
    </w:p>
    <w:p w:rsidR="00FF11B6" w:rsidRDefault="00FF11B6" w:rsidP="00FF11B6">
      <w:pPr>
        <w:jc w:val="both"/>
        <w:rPr>
          <w:color w:val="0F243E"/>
        </w:rPr>
      </w:pPr>
      <w:r>
        <w:rPr>
          <w:color w:val="0F243E"/>
        </w:rPr>
        <w:t xml:space="preserve">Per ogni oggetto di analisi (processo/attività o evento rischioso) e tenendo conto dei dati raccolti, si procede alla misurazione di ognuno dei criteri illustrati in precedenza. </w:t>
      </w:r>
    </w:p>
    <w:p w:rsidR="00FF11B6" w:rsidRDefault="00FF11B6" w:rsidP="00FF11B6">
      <w:pPr>
        <w:jc w:val="both"/>
        <w:rPr>
          <w:color w:val="0F243E"/>
        </w:rPr>
      </w:pPr>
      <w:r>
        <w:rPr>
          <w:color w:val="0F243E"/>
        </w:rPr>
        <w:t xml:space="preserve">Ogni misurazione deve essere adeguatamente motivata alla luce dei dati e delle evidenze raccolte. </w:t>
      </w:r>
    </w:p>
    <w:p w:rsidR="00FF11B6" w:rsidRDefault="00FF11B6" w:rsidP="00FF11B6">
      <w:pPr>
        <w:jc w:val="both"/>
        <w:rPr>
          <w:color w:val="0F243E"/>
        </w:rPr>
      </w:pPr>
      <w:r>
        <w:rPr>
          <w:color w:val="0F243E"/>
        </w:rPr>
        <w:t xml:space="preserve">Partendo dalla misurazione dei singoli indicatori si dovrà pervenire ad una valutazione complessiva del livello di esposizione al rischio. Il valore complessivo ha lo scopo di fornire una misurazione sintetica del livello di rischio associabile all’oggetto di analisi (processo/attività o evento rischioso). </w:t>
      </w:r>
    </w:p>
    <w:p w:rsidR="00FF11B6" w:rsidRDefault="00FF11B6" w:rsidP="00FF11B6">
      <w:pPr>
        <w:ind w:left="360"/>
        <w:jc w:val="both"/>
        <w:rPr>
          <w:color w:val="0F243E"/>
        </w:rPr>
      </w:pPr>
      <w:r>
        <w:rPr>
          <w:color w:val="0F243E"/>
        </w:rPr>
        <w:t>Esempio dello schema di valutazione del livello di esposizione al rischio:</w:t>
      </w:r>
    </w:p>
    <w:p w:rsidR="008877DB" w:rsidRPr="00B24E04" w:rsidRDefault="008877DB" w:rsidP="003F5FFF">
      <w:pPr>
        <w:ind w:left="360"/>
        <w:jc w:val="both"/>
        <w:rPr>
          <w:color w:val="0F243E" w:themeColor="text2" w:themeShade="80"/>
        </w:rPr>
      </w:pPr>
    </w:p>
    <w:tbl>
      <w:tblPr>
        <w:tblW w:w="89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1441"/>
        <w:gridCol w:w="1142"/>
        <w:gridCol w:w="1137"/>
        <w:gridCol w:w="1113"/>
        <w:gridCol w:w="830"/>
        <w:gridCol w:w="1480"/>
        <w:gridCol w:w="1811"/>
      </w:tblGrid>
      <w:tr w:rsidR="00CA25FC" w:rsidRPr="00F02E68" w:rsidTr="00A6308C">
        <w:trPr>
          <w:trHeight w:val="529"/>
        </w:trPr>
        <w:tc>
          <w:tcPr>
            <w:tcW w:w="8954" w:type="dxa"/>
            <w:gridSpan w:val="7"/>
            <w:shd w:val="clear" w:color="auto" w:fill="FFFF00"/>
            <w:tcMar>
              <w:top w:w="0" w:type="dxa"/>
              <w:left w:w="23" w:type="dxa"/>
              <w:bottom w:w="0" w:type="dxa"/>
              <w:right w:w="23" w:type="dxa"/>
            </w:tcMar>
            <w:hideMark/>
          </w:tcPr>
          <w:p w:rsidR="00CA25FC" w:rsidRPr="00F02E68" w:rsidRDefault="00CA25FC" w:rsidP="00CA25FC">
            <w:pPr>
              <w:spacing w:after="0" w:line="240" w:lineRule="auto"/>
              <w:jc w:val="center"/>
              <w:rPr>
                <w:rFonts w:ascii="Calibri" w:eastAsia="Times New Roman" w:hAnsi="Calibri" w:cs="Times New Roman"/>
                <w:lang w:eastAsia="it-IT"/>
              </w:rPr>
            </w:pPr>
            <w:r w:rsidRPr="00E02CBF">
              <w:rPr>
                <w:rFonts w:ascii="Calibri" w:eastAsia="Times New Roman" w:hAnsi="Calibri" w:cs="Times New Roman"/>
                <w:color w:val="0000CC"/>
                <w:sz w:val="24"/>
                <w:szCs w:val="24"/>
                <w:highlight w:val="yellow"/>
                <w:lang w:eastAsia="it-IT"/>
              </w:rPr>
              <w:t>PROBABILITA'</w:t>
            </w:r>
          </w:p>
        </w:tc>
      </w:tr>
      <w:tr w:rsidR="00A6308C" w:rsidRPr="00F02E68" w:rsidTr="00A6308C">
        <w:trPr>
          <w:trHeight w:val="843"/>
        </w:trPr>
        <w:tc>
          <w:tcPr>
            <w:tcW w:w="1441" w:type="dxa"/>
            <w:tcMar>
              <w:top w:w="0" w:type="dxa"/>
              <w:left w:w="23" w:type="dxa"/>
              <w:bottom w:w="0" w:type="dxa"/>
              <w:right w:w="23" w:type="dxa"/>
            </w:tcMar>
            <w:vAlign w:val="center"/>
            <w:hideMark/>
          </w:tcPr>
          <w:p w:rsidR="00A6308C" w:rsidRPr="00F02E68" w:rsidRDefault="00A6308C" w:rsidP="00F02E68">
            <w:pPr>
              <w:spacing w:after="0" w:line="240" w:lineRule="auto"/>
              <w:jc w:val="center"/>
              <w:rPr>
                <w:rFonts w:ascii="Calibri" w:eastAsia="Times New Roman" w:hAnsi="Calibri" w:cs="Times New Roman"/>
                <w:b/>
                <w:bCs/>
                <w:color w:val="800000"/>
                <w:sz w:val="18"/>
                <w:szCs w:val="18"/>
                <w:lang w:eastAsia="it-IT"/>
              </w:rPr>
            </w:pPr>
            <w:r w:rsidRPr="00F02E68">
              <w:rPr>
                <w:rFonts w:ascii="Calibri" w:eastAsia="Times New Roman" w:hAnsi="Calibri" w:cs="Times New Roman"/>
                <w:b/>
                <w:bCs/>
                <w:color w:val="800000"/>
                <w:sz w:val="18"/>
                <w:szCs w:val="18"/>
                <w:lang w:eastAsia="it-IT"/>
              </w:rPr>
              <w:t>Processo/attività/fase o evento rischioso</w:t>
            </w:r>
          </w:p>
        </w:tc>
        <w:tc>
          <w:tcPr>
            <w:tcW w:w="1142" w:type="dxa"/>
            <w:tcMar>
              <w:top w:w="0" w:type="dxa"/>
              <w:left w:w="23" w:type="dxa"/>
              <w:bottom w:w="0" w:type="dxa"/>
              <w:right w:w="23" w:type="dxa"/>
            </w:tcMar>
            <w:vAlign w:val="center"/>
            <w:hideMark/>
          </w:tcPr>
          <w:p w:rsidR="00A6308C" w:rsidRPr="00F02E68" w:rsidRDefault="00A6308C" w:rsidP="00F02E68">
            <w:pPr>
              <w:spacing w:after="0" w:line="240" w:lineRule="auto"/>
              <w:jc w:val="center"/>
              <w:rPr>
                <w:rFonts w:ascii="Calibri" w:eastAsia="Times New Roman" w:hAnsi="Calibri" w:cs="Times New Roman"/>
                <w:b/>
                <w:bCs/>
                <w:color w:val="800000"/>
                <w:sz w:val="18"/>
                <w:szCs w:val="18"/>
                <w:lang w:eastAsia="it-IT"/>
              </w:rPr>
            </w:pPr>
            <w:r w:rsidRPr="00F02E68">
              <w:rPr>
                <w:rFonts w:ascii="Calibri" w:eastAsia="Times New Roman" w:hAnsi="Calibri" w:cs="Times New Roman"/>
                <w:b/>
                <w:bCs/>
                <w:color w:val="800000"/>
                <w:sz w:val="18"/>
                <w:szCs w:val="18"/>
                <w:lang w:eastAsia="it-IT"/>
              </w:rPr>
              <w:t>LIVELLO DI INTERESSE ESTERNO</w:t>
            </w:r>
          </w:p>
        </w:tc>
        <w:tc>
          <w:tcPr>
            <w:tcW w:w="1137" w:type="dxa"/>
            <w:tcMar>
              <w:top w:w="0" w:type="dxa"/>
              <w:left w:w="23" w:type="dxa"/>
              <w:bottom w:w="0" w:type="dxa"/>
              <w:right w:w="23" w:type="dxa"/>
            </w:tcMar>
            <w:vAlign w:val="center"/>
            <w:hideMark/>
          </w:tcPr>
          <w:p w:rsidR="00A6308C" w:rsidRPr="00F02E68" w:rsidRDefault="00A6308C" w:rsidP="00F02E68">
            <w:pPr>
              <w:spacing w:after="0" w:line="240" w:lineRule="auto"/>
              <w:jc w:val="center"/>
              <w:rPr>
                <w:rFonts w:ascii="Calibri" w:eastAsia="Times New Roman" w:hAnsi="Calibri" w:cs="Times New Roman"/>
                <w:b/>
                <w:bCs/>
                <w:color w:val="800000"/>
                <w:sz w:val="18"/>
                <w:szCs w:val="18"/>
                <w:lang w:eastAsia="it-IT"/>
              </w:rPr>
            </w:pPr>
            <w:r w:rsidRPr="00F02E68">
              <w:rPr>
                <w:rFonts w:ascii="Calibri" w:eastAsia="Times New Roman" w:hAnsi="Calibri" w:cs="Times New Roman"/>
                <w:b/>
                <w:bCs/>
                <w:color w:val="800000"/>
                <w:sz w:val="18"/>
                <w:szCs w:val="18"/>
                <w:lang w:eastAsia="it-IT"/>
              </w:rPr>
              <w:t xml:space="preserve">GRADO DI DISCREZIONALITA' NEL PROCESSO DECISIONALE </w:t>
            </w:r>
          </w:p>
        </w:tc>
        <w:tc>
          <w:tcPr>
            <w:tcW w:w="1113" w:type="dxa"/>
            <w:tcMar>
              <w:top w:w="0" w:type="dxa"/>
              <w:left w:w="23" w:type="dxa"/>
              <w:bottom w:w="0" w:type="dxa"/>
              <w:right w:w="23" w:type="dxa"/>
            </w:tcMar>
            <w:vAlign w:val="center"/>
            <w:hideMark/>
          </w:tcPr>
          <w:p w:rsidR="00A6308C" w:rsidRPr="00F02E68" w:rsidRDefault="00A6308C" w:rsidP="00F02E68">
            <w:pPr>
              <w:spacing w:after="0" w:line="240" w:lineRule="auto"/>
              <w:jc w:val="center"/>
              <w:rPr>
                <w:rFonts w:ascii="Calibri" w:eastAsia="Times New Roman" w:hAnsi="Calibri" w:cs="Times New Roman"/>
                <w:b/>
                <w:bCs/>
                <w:color w:val="800000"/>
                <w:sz w:val="18"/>
                <w:szCs w:val="18"/>
                <w:lang w:eastAsia="it-IT"/>
              </w:rPr>
            </w:pPr>
            <w:r w:rsidRPr="00F02E68">
              <w:rPr>
                <w:rFonts w:ascii="Calibri" w:eastAsia="Times New Roman" w:hAnsi="Calibri" w:cs="Times New Roman"/>
                <w:b/>
                <w:bCs/>
                <w:color w:val="800000"/>
                <w:sz w:val="18"/>
                <w:szCs w:val="18"/>
                <w:lang w:eastAsia="it-IT"/>
              </w:rPr>
              <w:t>MANIFESTAZIONE DI EVENTI CORRUTTIVI</w:t>
            </w:r>
          </w:p>
        </w:tc>
        <w:tc>
          <w:tcPr>
            <w:tcW w:w="830" w:type="dxa"/>
            <w:tcMar>
              <w:top w:w="0" w:type="dxa"/>
              <w:left w:w="23" w:type="dxa"/>
              <w:bottom w:w="0" w:type="dxa"/>
              <w:right w:w="23" w:type="dxa"/>
            </w:tcMar>
            <w:vAlign w:val="center"/>
            <w:hideMark/>
          </w:tcPr>
          <w:p w:rsidR="00A6308C" w:rsidRPr="00F02E68" w:rsidRDefault="00A6308C" w:rsidP="00F02E68">
            <w:pPr>
              <w:spacing w:after="0" w:line="240" w:lineRule="auto"/>
              <w:jc w:val="center"/>
              <w:rPr>
                <w:rFonts w:ascii="Calibri" w:eastAsia="Times New Roman" w:hAnsi="Calibri" w:cs="Times New Roman"/>
                <w:b/>
                <w:bCs/>
                <w:color w:val="800000"/>
                <w:sz w:val="18"/>
                <w:szCs w:val="18"/>
                <w:lang w:eastAsia="it-IT"/>
              </w:rPr>
            </w:pPr>
            <w:r w:rsidRPr="00F02E68">
              <w:rPr>
                <w:rFonts w:ascii="Calibri" w:eastAsia="Times New Roman" w:hAnsi="Calibri" w:cs="Times New Roman"/>
                <w:b/>
                <w:bCs/>
                <w:color w:val="800000"/>
                <w:sz w:val="18"/>
                <w:szCs w:val="18"/>
                <w:lang w:eastAsia="it-IT"/>
              </w:rPr>
              <w:t>OPACITA' DEL PROCESSO DECISIONALE</w:t>
            </w:r>
          </w:p>
        </w:tc>
        <w:tc>
          <w:tcPr>
            <w:tcW w:w="1480" w:type="dxa"/>
            <w:tcMar>
              <w:top w:w="0" w:type="dxa"/>
              <w:left w:w="23" w:type="dxa"/>
              <w:bottom w:w="0" w:type="dxa"/>
              <w:right w:w="23" w:type="dxa"/>
            </w:tcMar>
            <w:vAlign w:val="center"/>
            <w:hideMark/>
          </w:tcPr>
          <w:p w:rsidR="00A6308C" w:rsidRPr="00F02E68" w:rsidRDefault="00A6308C" w:rsidP="00F02E68">
            <w:pPr>
              <w:spacing w:after="0" w:line="240" w:lineRule="auto"/>
              <w:jc w:val="center"/>
              <w:rPr>
                <w:rFonts w:ascii="Calibri" w:eastAsia="Times New Roman" w:hAnsi="Calibri" w:cs="Times New Roman"/>
                <w:b/>
                <w:bCs/>
                <w:color w:val="800000"/>
                <w:sz w:val="18"/>
                <w:szCs w:val="18"/>
                <w:lang w:eastAsia="it-IT"/>
              </w:rPr>
            </w:pPr>
            <w:r w:rsidRPr="00F02E68">
              <w:rPr>
                <w:rFonts w:ascii="Calibri" w:eastAsia="Times New Roman" w:hAnsi="Calibri" w:cs="Times New Roman"/>
                <w:b/>
                <w:bCs/>
                <w:color w:val="800000"/>
                <w:sz w:val="18"/>
                <w:szCs w:val="18"/>
                <w:lang w:eastAsia="it-IT"/>
              </w:rPr>
              <w:t>LIVELLO DI COLLABORAZIONE NELL'AGGIORNAMENTO E MONITORAGGIO DEL PTPCT</w:t>
            </w:r>
          </w:p>
        </w:tc>
        <w:tc>
          <w:tcPr>
            <w:tcW w:w="1811" w:type="dxa"/>
            <w:tcMar>
              <w:top w:w="0" w:type="dxa"/>
              <w:left w:w="23" w:type="dxa"/>
              <w:bottom w:w="0" w:type="dxa"/>
              <w:right w:w="23" w:type="dxa"/>
            </w:tcMar>
            <w:vAlign w:val="center"/>
            <w:hideMark/>
          </w:tcPr>
          <w:p w:rsidR="00A6308C" w:rsidRPr="00F02E68" w:rsidRDefault="00A6308C" w:rsidP="00F02E68">
            <w:pPr>
              <w:spacing w:after="0" w:line="240" w:lineRule="auto"/>
              <w:jc w:val="center"/>
              <w:rPr>
                <w:rFonts w:ascii="Calibri" w:eastAsia="Times New Roman" w:hAnsi="Calibri" w:cs="Times New Roman"/>
                <w:b/>
                <w:bCs/>
                <w:color w:val="800000"/>
                <w:sz w:val="18"/>
                <w:szCs w:val="18"/>
                <w:lang w:eastAsia="it-IT"/>
              </w:rPr>
            </w:pPr>
            <w:r w:rsidRPr="00F02E68">
              <w:rPr>
                <w:rFonts w:ascii="Calibri" w:eastAsia="Times New Roman" w:hAnsi="Calibri" w:cs="Times New Roman"/>
                <w:b/>
                <w:bCs/>
                <w:color w:val="800000"/>
                <w:sz w:val="18"/>
                <w:szCs w:val="18"/>
                <w:lang w:eastAsia="it-IT"/>
              </w:rPr>
              <w:t>ESISTENZA DI UN SISTEMA DI TRATTAMENTO DEL RISCHIO E GRADO DI ATTUAZIONE DELLE MISURE</w:t>
            </w:r>
          </w:p>
        </w:tc>
      </w:tr>
      <w:tr w:rsidR="00A6308C" w:rsidRPr="00F02E68" w:rsidTr="00A6308C">
        <w:trPr>
          <w:trHeight w:val="322"/>
        </w:trPr>
        <w:tc>
          <w:tcPr>
            <w:tcW w:w="1441" w:type="dxa"/>
            <w:tcMar>
              <w:top w:w="0" w:type="dxa"/>
              <w:left w:w="23" w:type="dxa"/>
              <w:bottom w:w="0" w:type="dxa"/>
              <w:right w:w="23" w:type="dxa"/>
            </w:tcMar>
            <w:vAlign w:val="center"/>
            <w:hideMark/>
          </w:tcPr>
          <w:p w:rsidR="00A6308C" w:rsidRPr="00F02E68" w:rsidRDefault="00A6308C" w:rsidP="00F02E68">
            <w:pPr>
              <w:spacing w:after="0" w:line="240" w:lineRule="auto"/>
              <w:rPr>
                <w:rFonts w:ascii="Calibri" w:eastAsia="Times New Roman" w:hAnsi="Calibri" w:cs="Times New Roman"/>
                <w:color w:val="0000CC"/>
                <w:sz w:val="14"/>
                <w:szCs w:val="14"/>
                <w:lang w:eastAsia="it-IT"/>
              </w:rPr>
            </w:pPr>
          </w:p>
        </w:tc>
        <w:tc>
          <w:tcPr>
            <w:tcW w:w="1142" w:type="dxa"/>
            <w:tcMar>
              <w:top w:w="0" w:type="dxa"/>
              <w:left w:w="23" w:type="dxa"/>
              <w:bottom w:w="0" w:type="dxa"/>
              <w:right w:w="23" w:type="dxa"/>
            </w:tcMar>
            <w:vAlign w:val="center"/>
            <w:hideMark/>
          </w:tcPr>
          <w:p w:rsidR="00A6308C" w:rsidRPr="00F02E68" w:rsidRDefault="00A6308C" w:rsidP="00F02E68">
            <w:pPr>
              <w:spacing w:after="0" w:line="240" w:lineRule="auto"/>
              <w:jc w:val="center"/>
              <w:rPr>
                <w:rFonts w:ascii="Calibri" w:eastAsia="Times New Roman" w:hAnsi="Calibri" w:cs="Times New Roman"/>
                <w:color w:val="0000CC"/>
                <w:lang w:eastAsia="it-IT"/>
              </w:rPr>
            </w:pPr>
          </w:p>
        </w:tc>
        <w:tc>
          <w:tcPr>
            <w:tcW w:w="1137" w:type="dxa"/>
            <w:tcMar>
              <w:top w:w="0" w:type="dxa"/>
              <w:left w:w="23" w:type="dxa"/>
              <w:bottom w:w="0" w:type="dxa"/>
              <w:right w:w="23" w:type="dxa"/>
            </w:tcMar>
            <w:vAlign w:val="center"/>
            <w:hideMark/>
          </w:tcPr>
          <w:p w:rsidR="00A6308C" w:rsidRPr="00F02E68" w:rsidRDefault="00A6308C" w:rsidP="00F02E68">
            <w:pPr>
              <w:spacing w:after="0" w:line="240" w:lineRule="auto"/>
              <w:jc w:val="center"/>
              <w:rPr>
                <w:rFonts w:ascii="Calibri" w:eastAsia="Times New Roman" w:hAnsi="Calibri" w:cs="Times New Roman"/>
                <w:color w:val="0000CC"/>
                <w:lang w:eastAsia="it-IT"/>
              </w:rPr>
            </w:pPr>
          </w:p>
        </w:tc>
        <w:tc>
          <w:tcPr>
            <w:tcW w:w="1113" w:type="dxa"/>
            <w:tcMar>
              <w:top w:w="0" w:type="dxa"/>
              <w:left w:w="23" w:type="dxa"/>
              <w:bottom w:w="0" w:type="dxa"/>
              <w:right w:w="23" w:type="dxa"/>
            </w:tcMar>
            <w:vAlign w:val="center"/>
            <w:hideMark/>
          </w:tcPr>
          <w:p w:rsidR="00A6308C" w:rsidRPr="00F02E68" w:rsidRDefault="00A6308C" w:rsidP="00F02E68">
            <w:pPr>
              <w:spacing w:after="0" w:line="240" w:lineRule="auto"/>
              <w:jc w:val="center"/>
              <w:rPr>
                <w:rFonts w:ascii="Calibri" w:eastAsia="Times New Roman" w:hAnsi="Calibri" w:cs="Times New Roman"/>
                <w:color w:val="0000CC"/>
                <w:lang w:eastAsia="it-IT"/>
              </w:rPr>
            </w:pPr>
          </w:p>
        </w:tc>
        <w:tc>
          <w:tcPr>
            <w:tcW w:w="830" w:type="dxa"/>
            <w:tcMar>
              <w:top w:w="0" w:type="dxa"/>
              <w:left w:w="23" w:type="dxa"/>
              <w:bottom w:w="0" w:type="dxa"/>
              <w:right w:w="23" w:type="dxa"/>
            </w:tcMar>
            <w:vAlign w:val="center"/>
            <w:hideMark/>
          </w:tcPr>
          <w:p w:rsidR="00A6308C" w:rsidRPr="00F02E68" w:rsidRDefault="00A6308C" w:rsidP="00F02E68">
            <w:pPr>
              <w:spacing w:after="0" w:line="240" w:lineRule="auto"/>
              <w:jc w:val="center"/>
              <w:rPr>
                <w:rFonts w:ascii="Calibri" w:eastAsia="Times New Roman" w:hAnsi="Calibri" w:cs="Times New Roman"/>
                <w:color w:val="0000CC"/>
                <w:lang w:eastAsia="it-IT"/>
              </w:rPr>
            </w:pPr>
          </w:p>
        </w:tc>
        <w:tc>
          <w:tcPr>
            <w:tcW w:w="1480" w:type="dxa"/>
            <w:tcMar>
              <w:top w:w="0" w:type="dxa"/>
              <w:left w:w="23" w:type="dxa"/>
              <w:bottom w:w="0" w:type="dxa"/>
              <w:right w:w="23" w:type="dxa"/>
            </w:tcMar>
            <w:vAlign w:val="center"/>
            <w:hideMark/>
          </w:tcPr>
          <w:p w:rsidR="00A6308C" w:rsidRPr="00F02E68" w:rsidRDefault="00A6308C" w:rsidP="00F02E68">
            <w:pPr>
              <w:spacing w:after="0" w:line="240" w:lineRule="auto"/>
              <w:jc w:val="center"/>
              <w:rPr>
                <w:rFonts w:ascii="Calibri" w:eastAsia="Times New Roman" w:hAnsi="Calibri" w:cs="Times New Roman"/>
                <w:color w:val="0000CC"/>
                <w:lang w:eastAsia="it-IT"/>
              </w:rPr>
            </w:pPr>
          </w:p>
        </w:tc>
        <w:tc>
          <w:tcPr>
            <w:tcW w:w="1811" w:type="dxa"/>
            <w:tcMar>
              <w:top w:w="0" w:type="dxa"/>
              <w:left w:w="23" w:type="dxa"/>
              <w:bottom w:w="0" w:type="dxa"/>
              <w:right w:w="23" w:type="dxa"/>
            </w:tcMar>
            <w:vAlign w:val="center"/>
            <w:hideMark/>
          </w:tcPr>
          <w:p w:rsidR="00A6308C" w:rsidRPr="00F02E68" w:rsidRDefault="00A6308C" w:rsidP="00F02E68">
            <w:pPr>
              <w:spacing w:after="0" w:line="240" w:lineRule="auto"/>
              <w:jc w:val="center"/>
              <w:rPr>
                <w:rFonts w:ascii="Calibri" w:eastAsia="Times New Roman" w:hAnsi="Calibri" w:cs="Times New Roman"/>
                <w:color w:val="0000CC"/>
                <w:lang w:eastAsia="it-IT"/>
              </w:rPr>
            </w:pPr>
          </w:p>
        </w:tc>
      </w:tr>
    </w:tbl>
    <w:p w:rsidR="00827FEA" w:rsidRDefault="00827FEA" w:rsidP="003F5FFF">
      <w:pPr>
        <w:ind w:left="360"/>
        <w:jc w:val="both"/>
        <w:rPr>
          <w:color w:val="0F243E" w:themeColor="text2" w:themeShade="80"/>
        </w:rPr>
      </w:pPr>
    </w:p>
    <w:p w:rsidR="00A6308C" w:rsidRDefault="00A6308C" w:rsidP="003F5FFF">
      <w:pPr>
        <w:ind w:left="360"/>
        <w:jc w:val="both"/>
        <w:rPr>
          <w:color w:val="0F243E" w:themeColor="text2" w:themeShade="80"/>
        </w:rPr>
      </w:pPr>
    </w:p>
    <w:p w:rsidR="00E02CBF" w:rsidRDefault="00E02CBF" w:rsidP="003F5FFF">
      <w:pPr>
        <w:ind w:left="360"/>
        <w:jc w:val="both"/>
        <w:rPr>
          <w:color w:val="0F243E" w:themeColor="text2" w:themeShade="80"/>
        </w:rPr>
      </w:pPr>
    </w:p>
    <w:tbl>
      <w:tblPr>
        <w:tblW w:w="8848" w:type="dxa"/>
        <w:tblInd w:w="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tblPr>
      <w:tblGrid>
        <w:gridCol w:w="1706"/>
        <w:gridCol w:w="1706"/>
        <w:gridCol w:w="1706"/>
        <w:gridCol w:w="1706"/>
        <w:gridCol w:w="2024"/>
      </w:tblGrid>
      <w:tr w:rsidR="00E02CBF" w:rsidRPr="00E02CBF" w:rsidTr="00E02CBF">
        <w:trPr>
          <w:trHeight w:val="480"/>
        </w:trPr>
        <w:tc>
          <w:tcPr>
            <w:tcW w:w="8848" w:type="dxa"/>
            <w:gridSpan w:val="5"/>
            <w:shd w:val="clear" w:color="000000" w:fill="C2D69A"/>
            <w:noWrap/>
            <w:vAlign w:val="center"/>
            <w:hideMark/>
          </w:tcPr>
          <w:p w:rsidR="00E02CBF" w:rsidRPr="00E02CBF" w:rsidRDefault="00E02CBF" w:rsidP="00E02CBF">
            <w:pPr>
              <w:spacing w:after="0" w:line="240" w:lineRule="auto"/>
              <w:jc w:val="center"/>
              <w:rPr>
                <w:rFonts w:ascii="Calibri" w:eastAsia="Times New Roman" w:hAnsi="Calibri" w:cs="Times New Roman"/>
                <w:color w:val="0000CC"/>
                <w:sz w:val="18"/>
                <w:szCs w:val="18"/>
                <w:lang w:eastAsia="it-IT"/>
              </w:rPr>
            </w:pPr>
            <w:r w:rsidRPr="00E02CBF">
              <w:rPr>
                <w:rFonts w:ascii="Calibri" w:eastAsia="Times New Roman" w:hAnsi="Calibri" w:cs="Times New Roman"/>
                <w:color w:val="0000CC"/>
                <w:sz w:val="18"/>
                <w:szCs w:val="18"/>
                <w:lang w:eastAsia="it-IT"/>
              </w:rPr>
              <w:lastRenderedPageBreak/>
              <w:t>IMPATTO</w:t>
            </w:r>
          </w:p>
        </w:tc>
      </w:tr>
      <w:tr w:rsidR="00A6308C" w:rsidRPr="00E02CBF" w:rsidTr="00A6308C">
        <w:trPr>
          <w:trHeight w:val="1928"/>
        </w:trPr>
        <w:tc>
          <w:tcPr>
            <w:tcW w:w="1706" w:type="dxa"/>
            <w:shd w:val="clear" w:color="auto" w:fill="auto"/>
            <w:vAlign w:val="center"/>
            <w:hideMark/>
          </w:tcPr>
          <w:p w:rsidR="00A6308C" w:rsidRPr="00E02CBF" w:rsidRDefault="00A6308C" w:rsidP="00E02CBF">
            <w:pPr>
              <w:spacing w:after="0" w:line="240" w:lineRule="auto"/>
              <w:jc w:val="center"/>
              <w:rPr>
                <w:rFonts w:ascii="Calibri" w:eastAsia="Times New Roman" w:hAnsi="Calibri" w:cs="Times New Roman"/>
                <w:b/>
                <w:bCs/>
                <w:color w:val="800000"/>
                <w:sz w:val="18"/>
                <w:szCs w:val="18"/>
                <w:lang w:eastAsia="it-IT"/>
              </w:rPr>
            </w:pPr>
            <w:r w:rsidRPr="00E02CBF">
              <w:rPr>
                <w:rFonts w:ascii="Calibri" w:eastAsia="Times New Roman" w:hAnsi="Calibri" w:cs="Times New Roman"/>
                <w:b/>
                <w:bCs/>
                <w:color w:val="800000"/>
                <w:sz w:val="18"/>
                <w:szCs w:val="18"/>
                <w:lang w:eastAsia="it-IT"/>
              </w:rPr>
              <w:t>Sull'amministrazione in termine di: (1) qualità e continuità dell’azione amministrativa</w:t>
            </w:r>
          </w:p>
        </w:tc>
        <w:tc>
          <w:tcPr>
            <w:tcW w:w="1706" w:type="dxa"/>
            <w:shd w:val="clear" w:color="auto" w:fill="auto"/>
            <w:vAlign w:val="center"/>
            <w:hideMark/>
          </w:tcPr>
          <w:p w:rsidR="00A6308C" w:rsidRPr="00E02CBF" w:rsidRDefault="00A6308C" w:rsidP="00E02CBF">
            <w:pPr>
              <w:spacing w:after="0" w:line="240" w:lineRule="auto"/>
              <w:jc w:val="center"/>
              <w:rPr>
                <w:rFonts w:ascii="Calibri" w:eastAsia="Times New Roman" w:hAnsi="Calibri" w:cs="Times New Roman"/>
                <w:b/>
                <w:bCs/>
                <w:color w:val="800000"/>
                <w:sz w:val="18"/>
                <w:szCs w:val="18"/>
                <w:lang w:eastAsia="it-IT"/>
              </w:rPr>
            </w:pPr>
            <w:r w:rsidRPr="00E02CBF">
              <w:rPr>
                <w:rFonts w:ascii="Calibri" w:eastAsia="Times New Roman" w:hAnsi="Calibri" w:cs="Times New Roman"/>
                <w:b/>
                <w:bCs/>
                <w:color w:val="800000"/>
                <w:sz w:val="18"/>
                <w:szCs w:val="18"/>
                <w:lang w:eastAsia="it-IT"/>
              </w:rPr>
              <w:t>Sull'amministrazione in termine di: (2) impatto economico</w:t>
            </w:r>
          </w:p>
        </w:tc>
        <w:tc>
          <w:tcPr>
            <w:tcW w:w="1706" w:type="dxa"/>
            <w:shd w:val="clear" w:color="auto" w:fill="auto"/>
            <w:vAlign w:val="center"/>
            <w:hideMark/>
          </w:tcPr>
          <w:p w:rsidR="00A6308C" w:rsidRPr="00E02CBF" w:rsidRDefault="00A6308C" w:rsidP="00E02CBF">
            <w:pPr>
              <w:spacing w:after="0" w:line="240" w:lineRule="auto"/>
              <w:jc w:val="center"/>
              <w:rPr>
                <w:rFonts w:ascii="Calibri" w:eastAsia="Times New Roman" w:hAnsi="Calibri" w:cs="Times New Roman"/>
                <w:b/>
                <w:bCs/>
                <w:color w:val="800000"/>
                <w:sz w:val="18"/>
                <w:szCs w:val="18"/>
                <w:lang w:eastAsia="it-IT"/>
              </w:rPr>
            </w:pPr>
            <w:r w:rsidRPr="00E02CBF">
              <w:rPr>
                <w:rFonts w:ascii="Calibri" w:eastAsia="Times New Roman" w:hAnsi="Calibri" w:cs="Times New Roman"/>
                <w:b/>
                <w:bCs/>
                <w:color w:val="800000"/>
                <w:sz w:val="18"/>
                <w:szCs w:val="18"/>
                <w:lang w:eastAsia="it-IT"/>
              </w:rPr>
              <w:t>Sull'amministrazione in termine di: (3) conseguenze legali</w:t>
            </w:r>
          </w:p>
        </w:tc>
        <w:tc>
          <w:tcPr>
            <w:tcW w:w="1706" w:type="dxa"/>
            <w:shd w:val="clear" w:color="auto" w:fill="auto"/>
            <w:vAlign w:val="center"/>
            <w:hideMark/>
          </w:tcPr>
          <w:p w:rsidR="00A6308C" w:rsidRPr="00E02CBF" w:rsidRDefault="00A6308C" w:rsidP="00E02CBF">
            <w:pPr>
              <w:spacing w:after="0" w:line="240" w:lineRule="auto"/>
              <w:jc w:val="center"/>
              <w:rPr>
                <w:rFonts w:ascii="Calibri" w:eastAsia="Times New Roman" w:hAnsi="Calibri" w:cs="Times New Roman"/>
                <w:b/>
                <w:bCs/>
                <w:color w:val="800000"/>
                <w:sz w:val="18"/>
                <w:szCs w:val="18"/>
                <w:lang w:eastAsia="it-IT"/>
              </w:rPr>
            </w:pPr>
            <w:r w:rsidRPr="00E02CBF">
              <w:rPr>
                <w:rFonts w:ascii="Calibri" w:eastAsia="Times New Roman" w:hAnsi="Calibri" w:cs="Times New Roman"/>
                <w:b/>
                <w:bCs/>
                <w:color w:val="800000"/>
                <w:sz w:val="18"/>
                <w:szCs w:val="18"/>
                <w:lang w:eastAsia="it-IT"/>
              </w:rPr>
              <w:t>Sull'amministrazione in termine di: (4) reputazione e credibilità istituzionale, etc</w:t>
            </w:r>
          </w:p>
        </w:tc>
        <w:tc>
          <w:tcPr>
            <w:tcW w:w="2024" w:type="dxa"/>
            <w:shd w:val="clear" w:color="auto" w:fill="auto"/>
            <w:vAlign w:val="center"/>
            <w:hideMark/>
          </w:tcPr>
          <w:p w:rsidR="00A6308C" w:rsidRPr="00E02CBF" w:rsidRDefault="00A6308C" w:rsidP="00E02CBF">
            <w:pPr>
              <w:spacing w:after="0" w:line="240" w:lineRule="auto"/>
              <w:jc w:val="center"/>
              <w:rPr>
                <w:rFonts w:ascii="Calibri" w:eastAsia="Times New Roman" w:hAnsi="Calibri" w:cs="Times New Roman"/>
                <w:b/>
                <w:bCs/>
                <w:color w:val="800000"/>
                <w:sz w:val="18"/>
                <w:szCs w:val="18"/>
                <w:lang w:eastAsia="it-IT"/>
              </w:rPr>
            </w:pPr>
            <w:r w:rsidRPr="00E02CBF">
              <w:rPr>
                <w:rFonts w:ascii="Calibri" w:eastAsia="Times New Roman" w:hAnsi="Calibri" w:cs="Times New Roman"/>
                <w:b/>
                <w:bCs/>
                <w:color w:val="800000"/>
                <w:sz w:val="18"/>
                <w:szCs w:val="18"/>
                <w:lang w:eastAsia="it-IT"/>
              </w:rPr>
              <w:t>sugli stakeholders (cittadini, utenti, imprese, mercato, sistema Paese), a seguito del degrado del servizio reso a causa del verificarsi dell’evento di corruzione</w:t>
            </w:r>
          </w:p>
        </w:tc>
      </w:tr>
    </w:tbl>
    <w:p w:rsidR="00E02CBF" w:rsidRDefault="00E02CBF" w:rsidP="003F5FFF">
      <w:pPr>
        <w:ind w:left="360"/>
        <w:jc w:val="both"/>
        <w:rPr>
          <w:color w:val="0F243E" w:themeColor="text2" w:themeShade="80"/>
        </w:rPr>
      </w:pPr>
    </w:p>
    <w:p w:rsidR="00FF11B6" w:rsidRDefault="00FF11B6" w:rsidP="00FF11B6">
      <w:pPr>
        <w:jc w:val="both"/>
      </w:pPr>
      <w:r>
        <w:rPr>
          <w:color w:val="0F243E"/>
        </w:rPr>
        <w:t>Infine, nell’ipotesi in cui sia possibile l’adozione di più azioni volte a mitigare un evento rischioso, andranno privilegiate quelle che riducono maggiormente il rischio residuo, sempre garantendo il rispetto del principio di sostenibilità economica ed organizzativa delle stesse. Per quanto riguarda, invece, la definizione delle priorità di trattamento, nell’impostare le azioni di prevenzione si dovrà tener conto del livello di esposizione al rischio determinato nella fase precedente e procedere in ordine via via decrescente, partendo dalle attività che presentano un’esposizione più elevata  fino ad arrivare a quelle con  una esposizione più contenuta.</w:t>
      </w:r>
    </w:p>
    <w:p w:rsidR="00FF11B6" w:rsidRPr="00B24E04" w:rsidRDefault="00FF11B6" w:rsidP="003F5FFF">
      <w:pPr>
        <w:ind w:left="360"/>
        <w:jc w:val="both"/>
        <w:rPr>
          <w:color w:val="0F243E" w:themeColor="text2" w:themeShade="80"/>
        </w:rPr>
      </w:pPr>
    </w:p>
    <w:sectPr w:rsidR="00FF11B6" w:rsidRPr="00B24E04" w:rsidSect="00E02CBF">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348">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Num11"/>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3">
    <w:nsid w:val="0D327A51"/>
    <w:multiLevelType w:val="hybridMultilevel"/>
    <w:tmpl w:val="ABD47D8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915363D"/>
    <w:multiLevelType w:val="hybridMultilevel"/>
    <w:tmpl w:val="FED4D714"/>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2BB90B32"/>
    <w:multiLevelType w:val="hybridMultilevel"/>
    <w:tmpl w:val="518AA5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8611A3B"/>
    <w:multiLevelType w:val="hybridMultilevel"/>
    <w:tmpl w:val="EB800D0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A9D6BF5"/>
    <w:multiLevelType w:val="hybridMultilevel"/>
    <w:tmpl w:val="BD2489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C821291"/>
    <w:multiLevelType w:val="hybridMultilevel"/>
    <w:tmpl w:val="568236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CD032DB"/>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CFE2951"/>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BA40710"/>
    <w:multiLevelType w:val="hybridMultilevel"/>
    <w:tmpl w:val="4ACE3E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BDD63F5"/>
    <w:multiLevelType w:val="hybridMultilevel"/>
    <w:tmpl w:val="FA72A1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8C15681"/>
    <w:multiLevelType w:val="hybridMultilevel"/>
    <w:tmpl w:val="977AB7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D0B65C4"/>
    <w:multiLevelType w:val="hybridMultilevel"/>
    <w:tmpl w:val="DB9CAA5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14"/>
  </w:num>
  <w:num w:numId="3">
    <w:abstractNumId w:val="8"/>
  </w:num>
  <w:num w:numId="4">
    <w:abstractNumId w:val="13"/>
  </w:num>
  <w:num w:numId="5">
    <w:abstractNumId w:val="5"/>
  </w:num>
  <w:num w:numId="6">
    <w:abstractNumId w:val="6"/>
  </w:num>
  <w:num w:numId="7">
    <w:abstractNumId w:val="9"/>
  </w:num>
  <w:num w:numId="8">
    <w:abstractNumId w:val="3"/>
  </w:num>
  <w:num w:numId="9">
    <w:abstractNumId w:val="4"/>
  </w:num>
  <w:num w:numId="10">
    <w:abstractNumId w:val="11"/>
  </w:num>
  <w:num w:numId="11">
    <w:abstractNumId w:val="10"/>
  </w:num>
  <w:num w:numId="12">
    <w:abstractNumId w:val="12"/>
  </w:num>
  <w:num w:numId="13">
    <w:abstractNumId w:val="0"/>
  </w:num>
  <w:num w:numId="14">
    <w:abstractNumId w:val="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efaultTabStop w:val="708"/>
  <w:hyphenationZone w:val="283"/>
  <w:characterSpacingControl w:val="doNotCompress"/>
  <w:compat/>
  <w:rsids>
    <w:rsidRoot w:val="003D5186"/>
    <w:rsid w:val="00031F14"/>
    <w:rsid w:val="0008046F"/>
    <w:rsid w:val="00086AFB"/>
    <w:rsid w:val="000C0B62"/>
    <w:rsid w:val="00100853"/>
    <w:rsid w:val="0012201F"/>
    <w:rsid w:val="001553BB"/>
    <w:rsid w:val="00182158"/>
    <w:rsid w:val="001E25CB"/>
    <w:rsid w:val="0026113B"/>
    <w:rsid w:val="00276E41"/>
    <w:rsid w:val="002C1139"/>
    <w:rsid w:val="0034385B"/>
    <w:rsid w:val="003D5186"/>
    <w:rsid w:val="003F1566"/>
    <w:rsid w:val="003F1E61"/>
    <w:rsid w:val="003F5FFF"/>
    <w:rsid w:val="00420727"/>
    <w:rsid w:val="00433839"/>
    <w:rsid w:val="00464237"/>
    <w:rsid w:val="0047155E"/>
    <w:rsid w:val="00474A02"/>
    <w:rsid w:val="00496D29"/>
    <w:rsid w:val="004C165A"/>
    <w:rsid w:val="0050273F"/>
    <w:rsid w:val="005219EF"/>
    <w:rsid w:val="00522164"/>
    <w:rsid w:val="00526266"/>
    <w:rsid w:val="005278FB"/>
    <w:rsid w:val="005A5779"/>
    <w:rsid w:val="005E5513"/>
    <w:rsid w:val="00657D19"/>
    <w:rsid w:val="006650CA"/>
    <w:rsid w:val="0070775D"/>
    <w:rsid w:val="00721948"/>
    <w:rsid w:val="00732323"/>
    <w:rsid w:val="00754AA4"/>
    <w:rsid w:val="00792F75"/>
    <w:rsid w:val="00827FEA"/>
    <w:rsid w:val="00885FD3"/>
    <w:rsid w:val="008877DB"/>
    <w:rsid w:val="00896AFF"/>
    <w:rsid w:val="0095130D"/>
    <w:rsid w:val="00972560"/>
    <w:rsid w:val="00990841"/>
    <w:rsid w:val="009B5FC8"/>
    <w:rsid w:val="009C54B2"/>
    <w:rsid w:val="00A41B83"/>
    <w:rsid w:val="00A51136"/>
    <w:rsid w:val="00A5619A"/>
    <w:rsid w:val="00A6308C"/>
    <w:rsid w:val="00AF2F6A"/>
    <w:rsid w:val="00B24E04"/>
    <w:rsid w:val="00BA33B0"/>
    <w:rsid w:val="00CA25FC"/>
    <w:rsid w:val="00CF220F"/>
    <w:rsid w:val="00CF3ACE"/>
    <w:rsid w:val="00D67A77"/>
    <w:rsid w:val="00D702F5"/>
    <w:rsid w:val="00E02CBF"/>
    <w:rsid w:val="00E514D4"/>
    <w:rsid w:val="00E556EF"/>
    <w:rsid w:val="00EE6011"/>
    <w:rsid w:val="00F02E68"/>
    <w:rsid w:val="00F11398"/>
    <w:rsid w:val="00FA1F09"/>
    <w:rsid w:val="00FF11B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139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6113B"/>
    <w:pPr>
      <w:ind w:left="720"/>
      <w:contextualSpacing/>
    </w:pPr>
  </w:style>
  <w:style w:type="table" w:styleId="Grigliatabella">
    <w:name w:val="Table Grid"/>
    <w:basedOn w:val="Tabellanormale"/>
    <w:uiPriority w:val="59"/>
    <w:rsid w:val="00A511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CF22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220F"/>
    <w:rPr>
      <w:rFonts w:ascii="Tahoma" w:hAnsi="Tahoma" w:cs="Tahoma"/>
      <w:sz w:val="16"/>
      <w:szCs w:val="16"/>
    </w:rPr>
  </w:style>
  <w:style w:type="paragraph" w:customStyle="1" w:styleId="Paragrafoelenco1">
    <w:name w:val="Paragrafo elenco1"/>
    <w:basedOn w:val="Normale"/>
    <w:rsid w:val="00FF11B6"/>
    <w:pPr>
      <w:suppressAutoHyphens/>
      <w:ind w:left="720"/>
    </w:pPr>
    <w:rPr>
      <w:rFonts w:ascii="Calibri" w:eastAsia="SimSun" w:hAnsi="Calibri" w:cs="font348"/>
      <w:lang w:eastAsia="ar-SA"/>
    </w:rPr>
  </w:style>
</w:styles>
</file>

<file path=word/webSettings.xml><?xml version="1.0" encoding="utf-8"?>
<w:webSettings xmlns:r="http://schemas.openxmlformats.org/officeDocument/2006/relationships" xmlns:w="http://schemas.openxmlformats.org/wordprocessingml/2006/main">
  <w:divs>
    <w:div w:id="853690715">
      <w:bodyDiv w:val="1"/>
      <w:marLeft w:val="0"/>
      <w:marRight w:val="0"/>
      <w:marTop w:val="0"/>
      <w:marBottom w:val="0"/>
      <w:divBdr>
        <w:top w:val="none" w:sz="0" w:space="0" w:color="auto"/>
        <w:left w:val="none" w:sz="0" w:space="0" w:color="auto"/>
        <w:bottom w:val="none" w:sz="0" w:space="0" w:color="auto"/>
        <w:right w:val="none" w:sz="0" w:space="0" w:color="auto"/>
      </w:divBdr>
    </w:div>
    <w:div w:id="1051156409">
      <w:bodyDiv w:val="1"/>
      <w:marLeft w:val="0"/>
      <w:marRight w:val="0"/>
      <w:marTop w:val="0"/>
      <w:marBottom w:val="0"/>
      <w:divBdr>
        <w:top w:val="none" w:sz="0" w:space="0" w:color="auto"/>
        <w:left w:val="none" w:sz="0" w:space="0" w:color="auto"/>
        <w:bottom w:val="none" w:sz="0" w:space="0" w:color="auto"/>
        <w:right w:val="none" w:sz="0" w:space="0" w:color="auto"/>
      </w:divBdr>
    </w:div>
    <w:div w:id="1223715106">
      <w:bodyDiv w:val="1"/>
      <w:marLeft w:val="0"/>
      <w:marRight w:val="0"/>
      <w:marTop w:val="0"/>
      <w:marBottom w:val="0"/>
      <w:divBdr>
        <w:top w:val="none" w:sz="0" w:space="0" w:color="auto"/>
        <w:left w:val="none" w:sz="0" w:space="0" w:color="auto"/>
        <w:bottom w:val="none" w:sz="0" w:space="0" w:color="auto"/>
        <w:right w:val="none" w:sz="0" w:space="0" w:color="auto"/>
      </w:divBdr>
    </w:div>
    <w:div w:id="1515917253">
      <w:bodyDiv w:val="1"/>
      <w:marLeft w:val="0"/>
      <w:marRight w:val="0"/>
      <w:marTop w:val="0"/>
      <w:marBottom w:val="0"/>
      <w:divBdr>
        <w:top w:val="none" w:sz="0" w:space="0" w:color="auto"/>
        <w:left w:val="none" w:sz="0" w:space="0" w:color="auto"/>
        <w:bottom w:val="none" w:sz="0" w:space="0" w:color="auto"/>
        <w:right w:val="none" w:sz="0" w:space="0" w:color="auto"/>
      </w:divBdr>
    </w:div>
    <w:div w:id="214619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1246</Words>
  <Characters>7105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8335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642589</dc:creator>
  <cp:lastModifiedBy>Direzione</cp:lastModifiedBy>
  <cp:revision>2</cp:revision>
  <dcterms:created xsi:type="dcterms:W3CDTF">2020-02-03T10:37:00Z</dcterms:created>
  <dcterms:modified xsi:type="dcterms:W3CDTF">2020-02-03T10:37:00Z</dcterms:modified>
</cp:coreProperties>
</file>