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30.0" w:type="dxa"/>
        <w:jc w:val="left"/>
        <w:tblInd w:w="-108.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0" w:hanging="3"/>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4" w:right="284" w:hanging="6"/>
              <w:jc w:val="center"/>
              <w:rPr>
                <w:rFonts w:ascii="Comic Sans MS" w:cs="Comic Sans MS" w:eastAsia="Comic Sans MS" w:hAnsi="Comic Sans MS"/>
                <w:b w:val="1"/>
                <w:i w:val="0"/>
                <w:smallCaps w:val="0"/>
                <w:strike w:val="0"/>
                <w:color w:val="000000"/>
                <w:sz w:val="56"/>
                <w:szCs w:val="5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AGEVOLAZIONI</w:t>
            </w:r>
          </w:p>
          <w:p w:rsidR="00000000" w:rsidDel="00000000" w:rsidP="00000000" w:rsidRDefault="00000000" w:rsidRPr="00000000" w14:paraId="0000000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0" w:hanging="3"/>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4" w:right="0" w:hanging="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4" w:right="284" w:hanging="6"/>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AGGIORNAMENTO n.251</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0" w:hanging="2"/>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A cura della Direzione Gestione e sviluppo del PRA</w:t>
      </w:r>
    </w:p>
    <w:p w:rsidR="00000000" w:rsidDel="00000000" w:rsidP="00000000" w:rsidRDefault="00000000" w:rsidRPr="00000000" w14:paraId="0000001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0" w:hanging="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fiscalità automobilistica e servizi agli Enti territoriali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Settembre 2024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left"/>
        <w:rPr>
          <w:rFonts w:ascii="Comic Sans MS" w:cs="Comic Sans MS" w:eastAsia="Comic Sans MS" w:hAnsi="Comic Sans MS"/>
          <w:b w:val="0"/>
          <w:i w:val="0"/>
          <w:smallCaps w:val="0"/>
          <w:strike w:val="0"/>
          <w:color w:val="000000"/>
          <w:sz w:val="36"/>
          <w:szCs w:val="36"/>
          <w:u w:val="none"/>
          <w:shd w:fill="auto" w:val="clear"/>
          <w:vertAlign w:val="baseline"/>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2"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FORMALITA’ A FAVORE DEI PORTATORI DI HANDICAP</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 avente data certa, ancorché non trascritto al PRA.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hanno comunque deciso di introdurre dei tempi di tolleranza,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tali casistiche possono essere gestite solo con istanza di rimborso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che riporta, per le Province che prevedono detto periodo di tolleranza, il numero di giorni ammesso fra la data di iscrizione/trascrizione del secondo veicolo e la data di autentica dell’atto di vendita o del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Certificato di Rottamazione</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del primo. La dicitura “ufficio” indica invece la necessità di contattare l’ufficio PRA di competenza,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prima di dare esito all’istanza di rimborso.</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1.1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una riduzione al 10% dell’IPT per le formalità  a favore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tutti i disabili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non inclusi nella normativa nazionale,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compresi, pertanto anche i c.d. disabili sensoriali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3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 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ma comunque affetti da minorazione ai sensi dell’art.3 della L. 104/1992.</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b w:val="0"/>
          <w:i w:val="0"/>
          <w:smallCaps w:val="0"/>
          <w:strike w:val="0"/>
          <w:color w:val="ff0000"/>
          <w:sz w:val="17"/>
          <w:szCs w:val="17"/>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accompagnamento, oppure a persone con disabilità sensoriale (v. tabella sotto riportata), oppure ai familiari che li abbiano fiscalmente a carico.</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con decorrenza 01.01.2014, il pagamento dell’IPT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ridotta al 50%</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sugli atti di natura traslativa o dichiarativa aventi ad oggetto veicoli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 adattati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intestati a soggetti affetti da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handicap grave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capacità di deambulazione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sensibilmente ridotta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come riconosciuto dalla Commissione medica competente, oppure intestati ai familiari cui tali soggetti risultino fiscalmente a carico. Per il corretto calcolo degli importi selezionare il flag “Z” nel campo disabile.</w:t>
      </w:r>
    </w:p>
    <w:p w:rsidR="00000000" w:rsidDel="00000000" w:rsidP="00000000" w:rsidRDefault="00000000" w:rsidRPr="00000000" w14:paraId="0000004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119" w:before="28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Isernia, Sassari, 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01/01/2022) e Messina (dal 01.01.2024)</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4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Valle d’Aosta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4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4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titolare di patente speciale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sia altresì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intestatario del veicolo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prescritti dalle commissioni mediche locali.</w:t>
      </w:r>
    </w:p>
    <w:p w:rsidR="00000000" w:rsidDel="00000000" w:rsidP="00000000" w:rsidRDefault="00000000" w:rsidRPr="00000000" w14:paraId="0000004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1" w:right="282" w:hanging="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1.2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Como, Roma, Pistoia,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Cosenza, Latina,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Benevento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6"/>
        </w:numPr>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53">
      <w:pPr>
        <w:keepNext w:val="0"/>
        <w:keepLines w:val="0"/>
        <w:pageBreakBefore w:val="0"/>
        <w:widowControl w:val="1"/>
        <w:numPr>
          <w:ilvl w:val="0"/>
          <w:numId w:val="16"/>
        </w:numPr>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1" w:right="284" w:hanging="3"/>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Como, 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Salerno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 Reggio Calabria e Cuneo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58">
      <w:pPr>
        <w:keepNext w:val="0"/>
        <w:keepLines w:val="0"/>
        <w:pageBreakBefore w:val="0"/>
        <w:widowControl w:val="1"/>
        <w:numPr>
          <w:ilvl w:val="1"/>
          <w:numId w:val="1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 veicolo rubato;</w:t>
      </w:r>
    </w:p>
    <w:p w:rsidR="00000000" w:rsidDel="00000000" w:rsidP="00000000" w:rsidRDefault="00000000" w:rsidRPr="00000000" w14:paraId="00000059">
      <w:pPr>
        <w:keepNext w:val="0"/>
        <w:keepLines w:val="0"/>
        <w:pageBreakBefore w:val="0"/>
        <w:widowControl w:val="1"/>
        <w:numPr>
          <w:ilvl w:val="1"/>
          <w:numId w:val="1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documentazione che comprovi l’avvenuta liquidazione del risarcimento previsto in caso di furto del veicolo da parte della Compagnia assicurativa;</w:t>
      </w:r>
    </w:p>
    <w:p w:rsidR="00000000" w:rsidDel="00000000" w:rsidP="00000000" w:rsidRDefault="00000000" w:rsidRPr="00000000" w14:paraId="0000005A">
      <w:pPr>
        <w:keepNext w:val="0"/>
        <w:keepLines w:val="0"/>
        <w:pageBreakBefore w:val="0"/>
        <w:widowControl w:val="1"/>
        <w:numPr>
          <w:ilvl w:val="1"/>
          <w:numId w:val="1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p>
    <w:p w:rsidR="00000000" w:rsidDel="00000000" w:rsidP="00000000" w:rsidRDefault="00000000" w:rsidRPr="00000000" w14:paraId="0000005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Cremona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5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6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Barletta-Andria-Trani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furto o appropriazione indebita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6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6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Lecco, 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Lodi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6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che, in presenza di veicolo intestato in capo a soggetto disabile o cui il soggetto disabile risulti fiscalmente a carico, l’esenzione IRT potrà essere riconosciuta per l’acquisto di un ulteriore veicolo se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alla data della presentazione della formalità risulti la perdita di possesso del primo veicolo a seguito di furto o appropriazione indebita denunciati alle autorità competenti o a causa di calamità naturali.</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E">
      <w:pPr>
        <w:keepNext w:val="0"/>
        <w:keepLines w:val="0"/>
        <w:pageBreakBefore w:val="0"/>
        <w:widowControl w:val="1"/>
        <w:numPr>
          <w:ilvl w:val="0"/>
          <w:numId w:val="16"/>
        </w:numPr>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F">
      <w:pPr>
        <w:keepNext w:val="0"/>
        <w:keepLines w:val="0"/>
        <w:pageBreakBefore w:val="0"/>
        <w:widowControl w:val="1"/>
        <w:numPr>
          <w:ilvl w:val="0"/>
          <w:numId w:val="16"/>
        </w:numPr>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70">
      <w:pPr>
        <w:keepNext w:val="0"/>
        <w:keepLines w:val="0"/>
        <w:pageBreakBefore w:val="0"/>
        <w:widowControl w:val="1"/>
        <w:numPr>
          <w:ilvl w:val="0"/>
          <w:numId w:val="16"/>
        </w:numPr>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copia del certificato di assicurazione contro il furto relativo al veicolo rubato.</w:t>
      </w:r>
    </w:p>
    <w:p w:rsidR="00000000" w:rsidDel="00000000" w:rsidP="00000000" w:rsidRDefault="00000000" w:rsidRPr="00000000" w14:paraId="0000007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6"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7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1.3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IN FAVORE DI DISABILI “SENSORIALI”</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Emilia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7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Altre Province, invece, hanno previsto agevolazioni a favore dei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disabili sensoriali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secondo il dettaglio riportato nella seguente tabella nella quale è indicato anche il carattere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4603.000000000002" w:type="dxa"/>
        <w:jc w:val="left"/>
        <w:tblInd w:w="-108.0" w:type="dxa"/>
        <w:tblLayout w:type="fixed"/>
        <w:tblLook w:val="0000"/>
      </w:tblPr>
      <w:tblGrid>
        <w:gridCol w:w="8787"/>
        <w:gridCol w:w="2352"/>
        <w:gridCol w:w="3464"/>
        <w:tblGridChange w:id="0">
          <w:tblGrid>
            <w:gridCol w:w="8787"/>
            <w:gridCol w:w="2352"/>
            <w:gridCol w:w="3464"/>
          </w:tblGrid>
        </w:tblGridChange>
      </w:tblGrid>
      <w:tr>
        <w:trPr>
          <w:cantSplit w:val="1"/>
          <w:tblHeader w:val="1"/>
        </w:trPr>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C">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PROVINCE</w:t>
            </w:r>
          </w:p>
        </w:tc>
        <w:tc>
          <w:tcPr>
            <w:tcBorders>
              <w:top w:color="000000" w:space="0" w:sz="4" w:val="single"/>
              <w:left w:color="000000" w:space="0" w:sz="4" w:val="single"/>
              <w:bottom w:color="000000" w:space="0" w:sz="4" w:val="single"/>
            </w:tcBorders>
            <w:shd w:fill="ffff99" w:val="clear"/>
            <w:vAlign w:val="center"/>
          </w:tcPr>
          <w:p w:rsidR="00000000" w:rsidDel="00000000" w:rsidP="00000000" w:rsidRDefault="00000000" w:rsidRPr="00000000" w14:paraId="0000007D">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99" w:val="clear"/>
            <w:vAlign w:val="center"/>
          </w:tcPr>
          <w:p w:rsidR="00000000" w:rsidDel="00000000" w:rsidP="00000000" w:rsidRDefault="00000000" w:rsidRPr="00000000" w14:paraId="0000007E">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FLAG PER IL CALCOLO DEGLI IMPORTI</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F">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Asti, Bergamo, Brescia, Como, Chieti, Cremona, Lecco, Lodi, Massa Carrara, Milano, Monza Brianza,Novara, Nuoro, Padova, Pavia, Piacenza, Rieti, Rimini, Salerno,</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0">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1">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2">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3">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Bari, Belluno, La Spezia, Parma, Perugia, Terni, Teramo,</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Friuli Venezia Giulia,</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Genova, Grosseto, Imperia, Messina,</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Pisa, Potenza, Reggio Calabria</w:t>
            </w:r>
            <w:r w:rsidDel="00000000" w:rsidR="00000000" w:rsidRPr="00000000">
              <w:rPr>
                <w:rFonts w:ascii="Times New Roman" w:cs="Times New Roman" w:eastAsia="Times New Roman" w:hAnsi="Times New Roman"/>
                <w:b w:val="1"/>
                <w:i w:val="0"/>
                <w:smallCaps w:val="0"/>
                <w:strike w:val="0"/>
                <w:color w:val="ff3333"/>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3333"/>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Rovigo, Sondrio,</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Forlì Cesena,Pescara, Treviso,</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Ancona, Aosta, Catania,</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Arezzo, B</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enevento, Bolzano, 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284" w:hanging="2"/>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w:t>
            </w: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88"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(per le Province contrassegnate con * le procedure per il calcolo degli importi </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non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sono ancora state rilasciate)</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12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Fa eccezione a tale principio l’agevolazione stabilita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tale agevolazione prevista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cumulabile con le altre agevolazioni, previste dalla stessa Provincia (es: successione ereditaria).</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e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Asti, Belluno, Bolzano, Cagliari, 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Cuneo, Fermo, Foggia, Forlì-Cesena, Frosinone, Genova,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Perugia, Pesaro Urbino, Pescara, Pisa, Pistoia, Potenza, 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 e 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A6">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Massa Carrara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A7">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Mantova, Piacenza e 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 gravità dell’handicap necessaria ai fini dell'applicazione dell'agevolazione in parola deve essere tale da aver determinato il riconoscimento, ai sensi di legge, di un’indennità economica, qualsivoglia denominata, purchè determinata dal suddetto handicap.</w:t>
      </w:r>
    </w:p>
    <w:p w:rsidR="00000000" w:rsidDel="00000000" w:rsidP="00000000" w:rsidRDefault="00000000" w:rsidRPr="00000000" w14:paraId="000000A8">
      <w:pPr>
        <w:keepNext w:val="0"/>
        <w:keepLines w:val="0"/>
        <w:pageBreakBefore w:val="0"/>
        <w:widowControl w:val="1"/>
        <w:numPr>
          <w:ilvl w:val="0"/>
          <w:numId w:val="5"/>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A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 quest’ultimo punto si differenzia dalle altre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A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Pistoia e Verona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01/01/2008),</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Aosta e Parma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01/01/2009)</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30/03/2009),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al PRA a far data dal 01.06.2012)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Ravenna, Reggio Calabria (a far data dal 03/06/2023)</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per le formalità presentate dal 01.01.2014),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presentate dal 01.01.2015),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dal 01.01.2016),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(01.01.2017)</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16.10.2017),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Pescara e Rieti (quest’ultima dal 01.01.2023)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deliberato la riduzione dell’IPT nella misura del 90% per la trascrizione a favore di tutti gli eredi ( flag A) e del 10% (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(a far data dal 01/01/2023)</w:t>
      </w:r>
      <w:r w:rsidDel="00000000" w:rsidR="00000000" w:rsidRPr="00000000">
        <w:rPr>
          <w:rFonts w:ascii="Comic Sans MS" w:cs="Comic Sans MS" w:eastAsia="Comic Sans MS" w:hAnsi="Comic Sans MS"/>
          <w:b w:val="1"/>
          <w:i w:val="0"/>
          <w:smallCaps w:val="0"/>
          <w:strike w:val="0"/>
          <w:color w:val="ff3333"/>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 Milano, Pavia, Perugia, Varese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7/12/2009),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Monza Brianza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01/01/2011),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Savona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01.01.2013)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01/01/2022)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20 febbraio 2022) hanno deliberato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acquisto di veicoli tra privati mortis</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causa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procedure applicative per il calcolo importi effettueranno – in modalità automatica - la corretta imputazione dell’Ipt dovuta a fronte dell’impostazione del campo “data apertura successione”,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in misura fissa con percentuale di maggiorazione al 30%.</w:t>
      </w:r>
    </w:p>
    <w:p w:rsidR="00000000" w:rsidDel="00000000" w:rsidP="00000000" w:rsidRDefault="00000000" w:rsidRPr="00000000" w14:paraId="000000B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2009 , 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Pesaro-Urbino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per le formalità consecutive di acquisto mortis causa tra privati (flag I) e successiva rivendita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in misura fissa nei seguenti casi:</w:t>
      </w:r>
    </w:p>
    <w:p w:rsidR="00000000" w:rsidDel="00000000" w:rsidP="00000000" w:rsidRDefault="00000000" w:rsidRPr="00000000" w14:paraId="000000C1">
      <w:pPr>
        <w:keepNext w:val="0"/>
        <w:keepLines w:val="0"/>
        <w:pageBreakBefore w:val="0"/>
        <w:widowControl w:val="1"/>
        <w:numPr>
          <w:ilvl w:val="0"/>
          <w:numId w:val="14"/>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C2">
      <w:pPr>
        <w:keepNext w:val="0"/>
        <w:keepLines w:val="0"/>
        <w:pageBreakBefore w:val="0"/>
        <w:widowControl w:val="1"/>
        <w:numPr>
          <w:ilvl w:val="0"/>
          <w:numId w:val="14"/>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presentate dal 01/01/2009:</w:t>
      </w:r>
    </w:p>
    <w:p w:rsidR="00000000" w:rsidDel="00000000" w:rsidP="00000000" w:rsidRDefault="00000000" w:rsidRPr="00000000" w14:paraId="000000C5">
      <w:pPr>
        <w:keepNext w:val="0"/>
        <w:keepLines w:val="0"/>
        <w:pageBreakBefore w:val="0"/>
        <w:widowControl w:val="1"/>
        <w:numPr>
          <w:ilvl w:val="0"/>
          <w:numId w:val="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C6">
      <w:pPr>
        <w:keepNext w:val="0"/>
        <w:keepLines w:val="0"/>
        <w:pageBreakBefore w:val="0"/>
        <w:widowControl w:val="1"/>
        <w:numPr>
          <w:ilvl w:val="0"/>
          <w:numId w:val="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C7">
      <w:pPr>
        <w:keepNext w:val="0"/>
        <w:keepLines w:val="0"/>
        <w:pageBreakBefore w:val="0"/>
        <w:widowControl w:val="1"/>
        <w:numPr>
          <w:ilvl w:val="0"/>
          <w:numId w:val="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C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C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invece,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dell’Ipt fissa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comprensiva della maggiorazione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tutti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casi di trasferimento d’azienda da genitore a figli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mortis causa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condizione che uno degli eredi prosegua l’esercizio dell’attività d’impresa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valorizzare il campo “data apertura successione” e selezionare il flag “P” presente nel campo “Agevolazione disabile”.</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 gennaio 2017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 gennaio 2019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dal 28 ottobre 2021 quella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Cosenza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nel caso di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contestuale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a uno degli eredi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l’IPT venga applicata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solo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C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applicative di calcolo importi effettueranno in modalità automatica il calcolo a zero dell’IPT dovuta, a fronte dell’impostazione del campo “data apertura successione” e della valorizzazione del flag disabile “ I” sulla trascrizione “ mortis causa” (similmente a quanto già in uso per la Provincia di TRENTO).</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29 dicembre 2011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data presentazione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marzo 2012,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1"/>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Applicazione dell’IPT fissa per ogni veicolo  per l’accettazione di eredità da parte dell’unico erede, per il corretto calcolo degli importi valorizzare il campo “data apertura successione”;</w:t>
      </w:r>
    </w:p>
    <w:p w:rsidR="00000000" w:rsidDel="00000000" w:rsidP="00000000" w:rsidRDefault="00000000" w:rsidRPr="00000000" w14:paraId="000000D7">
      <w:pPr>
        <w:keepNext w:val="0"/>
        <w:keepLines w:val="0"/>
        <w:pageBreakBefore w:val="0"/>
        <w:widowControl w:val="1"/>
        <w:numPr>
          <w:ilvl w:val="0"/>
          <w:numId w:val="21"/>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contestuale presentazione della accettazione di eredità a favore di tutti gli eredi e della trascrizione a favore dell’unico erede che intenda intestarsi il veicolo, si applica l’IPT in misura fissa su tutti i veicoli solo sul primo passaggio; per il corretto calcolo degli importi valorizzare il campo “data apertura successione” sul primo passaggio.</w:t>
      </w:r>
    </w:p>
    <w:p w:rsidR="00000000" w:rsidDel="00000000" w:rsidP="00000000" w:rsidRDefault="00000000" w:rsidRPr="00000000" w14:paraId="000000D8">
      <w:pPr>
        <w:keepNext w:val="0"/>
        <w:keepLines w:val="0"/>
        <w:pageBreakBefore w:val="0"/>
        <w:widowControl w:val="1"/>
        <w:numPr>
          <w:ilvl w:val="0"/>
          <w:numId w:val="21"/>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Ove , invece, la presentazione non avvenga in modalità contestuale, si applicherà l’IPT fissa su tutti i veicoli per ogni passaggio;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D9">
      <w:pPr>
        <w:keepNext w:val="0"/>
        <w:keepLines w:val="0"/>
        <w:pageBreakBefore w:val="0"/>
        <w:widowControl w:val="1"/>
        <w:numPr>
          <w:ilvl w:val="0"/>
          <w:numId w:val="21"/>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accettazione di eredità con vendita ad un  soggetto terzo , si applicherà l’IPT fissa su tutti i veicoli solo per l’accettazione di eredità; per il corretto calcolo degli importi valorizzare il campo “data apertura successione” nel trasferimento di proprietà a favore di tutti gli eredi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0"/>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consecutive di acquisto mortis causa tra privati e successiva rivendita a uno o più eredi sia dovuta – per entrambe- l’IPT ridotta del 75% .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D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DF">
      <w:pPr>
        <w:keepNext w:val="0"/>
        <w:keepLines w:val="0"/>
        <w:pageBreakBefore w:val="0"/>
        <w:widowControl w:val="1"/>
        <w:numPr>
          <w:ilvl w:val="0"/>
          <w:numId w:val="13"/>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precisato che è possibile cumulare tale agevolazioni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“J.”del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E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E8">
      <w:pPr>
        <w:keepNext w:val="0"/>
        <w:keepLines w:val="0"/>
        <w:pageBreakBefore w:val="0"/>
        <w:widowControl w:val="1"/>
        <w:numPr>
          <w:ilvl w:val="0"/>
          <w:numId w:val="6"/>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E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0E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6"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agevolazione (es: agevolazioni disabili); nel caso nel caso in cui il soggetto a favore abbia diritto a più agevolazioni, si applicherà quella a lui più vantaggiosa.</w:t>
      </w:r>
    </w:p>
    <w:p w:rsidR="00000000" w:rsidDel="00000000" w:rsidP="00000000" w:rsidRDefault="00000000" w:rsidRPr="00000000" w14:paraId="000000E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4545.0" w:type="dxa"/>
        <w:jc w:val="left"/>
        <w:tblInd w:w="-108.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F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VEICOLI ECO COMPATIBILI</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Potenza, Ravenna 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Pavia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 n.2185 del 07/12/2016 ha confermato l’aumento della tariffa IPT al 30%, eliminando le agevolazioni (ovvero la sola maggiorazione al 10%) previste per le autovetture con emissione di CO2 fino a 120g/km.</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deliberato la riduzione al 50% dell’IPT per le formalità aventi ad oggetto veicoli ad alimentazione elettrica, esclusiva o doppia , e per quelli ad idrogeno. Tale riduzione IPT non è cumulabile con altre agevolazioni( es: agevolazioni ai disabili sensoriali, veicoli speciali,ecc.);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w:t>
      </w:r>
    </w:p>
    <w:p w:rsidR="00000000" w:rsidDel="00000000" w:rsidP="00000000" w:rsidRDefault="00000000" w:rsidRPr="00000000" w14:paraId="0000010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favore abbia diritto a più agevolazioni, si applicherà quella a lui più vantaggiosa.</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0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0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0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0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0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01/01/2021, ha previsto di applicare la tariffa IPT, comprensiva della maggiorazione deliberata dalla Provincia, nella misura del 30% per le formalità aventi ad oggetto veicoli ad alimentazione, elettrica, esclusiva o doppia, e per quelli ad idrogeno e, dal 01/01/2022, anche per i veicoli con alimentazione esclusiva a metano o GPL.</w:t>
      </w:r>
    </w:p>
    <w:p w:rsidR="00000000" w:rsidDel="00000000" w:rsidP="00000000" w:rsidRDefault="00000000" w:rsidRPr="00000000" w14:paraId="0000010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65" w:hanging="2"/>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Napoli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65" w:hanging="3"/>
        <w:jc w:val="both"/>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65" w:hanging="2"/>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65" w:hanging="3"/>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SOCIETARI</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1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 gennaio 2008 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Chieti, Cremona, Milano, Pavia, Perugia e Varese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Frosinone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Lecco, Lodi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Pesaro Urbino, Rieti, Sassari.</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medesima agevolazione 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Latina,</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Terni e 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Cagliari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Nuoro,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01/01/2014,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01.01.2017 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01/01/2018,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 Pescara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01.01.2020,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01/01/2022) e, a far data dal 01/01/2023,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(quest’ultima con decorrenza 01/04/2015),</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Sud Sardegna, 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Teramo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 Cesena e Asti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 Monza Brianza, Bari, Lecco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Pavia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Lodi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p>
    <w:p w:rsidR="00000000" w:rsidDel="00000000" w:rsidP="00000000" w:rsidRDefault="00000000" w:rsidRPr="00000000" w14:paraId="0000012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Atto pubblico</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Scrittura privata</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Atto societario.- Sentenza Giudiziaria</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4"/>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:Atto societario – Atto Amministrativo</w:t>
      </w:r>
    </w:p>
    <w:p w:rsidR="00000000" w:rsidDel="00000000" w:rsidP="00000000" w:rsidRDefault="00000000" w:rsidRPr="00000000" w14:paraId="0000012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Sondrio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ESENZIONE A FAVORE DELLE IPAB</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Pescara, Ravenna, Reggio Calabria, 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Vercelli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Vibo Valentia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Frosinone, Imperia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Rieti, Sassari e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01/01/2010 dalla Provincia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Rovigo, Salerno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01/01/2011 dalle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Cagliari e 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15/04/2011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Livorno,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 gennaio 2012, dalla Provincia di Isernia, dal 01.01.2015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01.01.2016 dalla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Messina,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dalla Provincia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Sud Sardegna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01.01.2017),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01.01.2018),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01.01.2019) e dalla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(dal 01/01/2022).</w:t>
      </w:r>
    </w:p>
    <w:p w:rsidR="00000000" w:rsidDel="00000000" w:rsidP="00000000" w:rsidRDefault="00000000" w:rsidRPr="00000000" w14:paraId="0000013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la gestione automatizzata del calcolo degli importi dovuti a fronte di tali tipologie di formalità, va inserito - nel campo “ agevolazioni disabili” - il flag “B”,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ONLUS</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6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previsto l’esenzione dell’IPT per le formalità a favore di organizzazioni non lucrative di utilità sociale (ONLUS) ai sensi dell’art.21 del D. Lgs. n.460/97, fa eccezione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4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4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Viterbo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l’IPT in misura fissa per le formalità a favore delle organizzazioni non lucrative di utilità sociale. Per il corretto calcolo degli importi, nelle more del rilascio di uno specifico flag del campo disabile, sarà possibile procedere valorizzando il flag “A” del campo esenzione.</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ha confermato l’esenzione IPT in favore delle ONLUS nelle more della modifica del proprio Regolamento IPT e, comunque, non oltre il 31/12/2024.</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pBdr>
        <w:shd w:fill="ffffff" w:val="clear"/>
        <w:ind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color w:val="ff3333"/>
          <w:sz w:val="24"/>
          <w:szCs w:val="24"/>
          <w:rtl w:val="0"/>
        </w:rPr>
        <w:t xml:space="preserve">La Provincia di </w:t>
      </w:r>
      <w:r w:rsidDel="00000000" w:rsidR="00000000" w:rsidRPr="00000000">
        <w:rPr>
          <w:rFonts w:ascii="Comic Sans MS" w:cs="Comic Sans MS" w:eastAsia="Comic Sans MS" w:hAnsi="Comic Sans MS"/>
          <w:b w:val="1"/>
          <w:color w:val="ff3333"/>
          <w:sz w:val="24"/>
          <w:szCs w:val="24"/>
          <w:rtl w:val="0"/>
        </w:rPr>
        <w:t xml:space="preserve">Foggia</w:t>
      </w:r>
      <w:r w:rsidDel="00000000" w:rsidR="00000000" w:rsidRPr="00000000">
        <w:rPr>
          <w:rFonts w:ascii="Comic Sans MS" w:cs="Comic Sans MS" w:eastAsia="Comic Sans MS" w:hAnsi="Comic Sans MS"/>
          <w:color w:val="ff3333"/>
          <w:sz w:val="24"/>
          <w:szCs w:val="24"/>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5"/>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TERZO SETTORE</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del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IPT per le formalità a favore degli enti del Terzo settore di cui al D.L. n.117 del 3 luglio 2017.</w:t>
      </w:r>
    </w:p>
    <w:p w:rsidR="00000000" w:rsidDel="00000000" w:rsidP="00000000" w:rsidRDefault="00000000" w:rsidRPr="00000000" w14:paraId="0000015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5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alibri" w:cs="Calibri" w:eastAsia="Calibri" w:hAnsi="Calibri"/>
          <w:sz w:val="33"/>
          <w:szCs w:val="33"/>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 </w:t>
      </w:r>
      <w:r w:rsidDel="00000000" w:rsidR="00000000" w:rsidRPr="00000000">
        <w:rPr>
          <w:rFonts w:ascii="Comic Sans MS" w:cs="Comic Sans MS" w:eastAsia="Comic Sans MS" w:hAnsi="Comic Sans MS"/>
          <w:b w:val="1"/>
          <w:i w:val="0"/>
          <w:smallCaps w:val="0"/>
          <w:strike w:val="0"/>
          <w:color w:val="ff0000"/>
          <w:sz w:val="24"/>
          <w:szCs w:val="24"/>
          <w:u w:val="none"/>
          <w:vertAlign w:val="baseline"/>
          <w:rtl w:val="0"/>
        </w:rPr>
        <w:t xml:space="preserve">B</w:t>
      </w:r>
      <w:r w:rsidDel="00000000" w:rsidR="00000000" w:rsidRPr="00000000">
        <w:rPr>
          <w:rFonts w:ascii="Comic Sans MS" w:cs="Comic Sans MS" w:eastAsia="Comic Sans MS" w:hAnsi="Comic Sans MS"/>
          <w:b w:val="1"/>
          <w:color w:val="ff0000"/>
          <w:sz w:val="24"/>
          <w:szCs w:val="24"/>
          <w:rtl w:val="0"/>
        </w:rPr>
        <w:t xml:space="preserve">iella</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Cagliari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01.01.2024)</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Genova,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Lecce,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Padova, Pescara, Ravenna, Reggio Calabria, Rieti, Rovigo, Taranto, Torino, Verona,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Verbano Cusio Ossola e 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5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organizzazioni di volontariato, società di mutuo soccorso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5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previsto che sono esentate dal pagamento dell’imposta gli atti a favore degli Enti del Terzo settore nella forma delle Organizzazioni di volontariato, ai sensi dell’art.32, di cui al D.Lgs. 3 luglio 2017, n.117, iscritti al Registro Unico Nazionale degli Enti del terzo settore (RUNTS).</w:t>
      </w:r>
    </w:p>
    <w:p w:rsidR="00000000" w:rsidDel="00000000" w:rsidP="00000000" w:rsidRDefault="00000000" w:rsidRPr="00000000" w14:paraId="0000015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firstLine="0"/>
        <w:jc w:val="both"/>
        <w:rPr>
          <w:rFonts w:ascii="Comic Sans MS" w:cs="Comic Sans MS" w:eastAsia="Comic Sans MS" w:hAnsi="Comic Sans MS"/>
          <w:b w:val="0"/>
          <w:i w:val="0"/>
          <w:smallCaps w:val="0"/>
          <w:strike w:val="1"/>
          <w:color w:val="ff3333"/>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ha previsto ha previsto che sono esentate dal pagamento dell’imposta gli atti a favore degli Enti del Terzo settore iscritti al RUNTS, nella forma di Organizzazioni di volontariato nonché di Cooperative Sociali di cui alla L. 8/11/1991 n°381 e succ. modifiche e integrazioni. Per usufruire dell’esenzione la parte deve dichiarare che il veicolo oggetto della trascrizione/iscrizione al PRA è utilizzato esclusivamente per lo svolgimento di attività, non commerciali, aventi finalità civiche, solidaristiche e di utilità sociale.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1"/>
          <w:color w:val="ff3333"/>
          <w:sz w:val="24"/>
          <w:szCs w:val="24"/>
          <w:highlight w:val="white"/>
          <w:u w:val="none"/>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i w:val="0"/>
          <w:smallCaps w:val="0"/>
          <w:strike w:val="0"/>
          <w:color w:val="ff3333"/>
          <w:sz w:val="24"/>
          <w:szCs w:val="24"/>
          <w:u w:val="none"/>
          <w:vertAlign w:val="baseline"/>
        </w:rPr>
      </w:pPr>
      <w:r w:rsidDel="00000000" w:rsidR="00000000" w:rsidRPr="00000000">
        <w:rPr>
          <w:rFonts w:ascii="Comic Sans MS" w:cs="Comic Sans MS" w:eastAsia="Comic Sans MS" w:hAnsi="Comic Sans MS"/>
          <w:i w:val="0"/>
          <w:smallCaps w:val="0"/>
          <w:strike w:val="0"/>
          <w:color w:val="ff3333"/>
          <w:sz w:val="24"/>
          <w:szCs w:val="24"/>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ff3333"/>
          <w:sz w:val="24"/>
          <w:szCs w:val="24"/>
          <w:u w:val="none"/>
          <w:vertAlign w:val="baseline"/>
          <w:rtl w:val="0"/>
        </w:rPr>
        <w:t xml:space="preserve">Foggia</w:t>
      </w:r>
      <w:r w:rsidDel="00000000" w:rsidR="00000000" w:rsidRPr="00000000">
        <w:rPr>
          <w:rFonts w:ascii="Comic Sans MS" w:cs="Comic Sans MS" w:eastAsia="Comic Sans MS" w:hAnsi="Comic Sans MS"/>
          <w:i w:val="0"/>
          <w:smallCaps w:val="0"/>
          <w:strike w:val="0"/>
          <w:color w:val="ff3333"/>
          <w:sz w:val="24"/>
          <w:szCs w:val="24"/>
          <w:u w:val="none"/>
          <w:vertAlign w:val="baseline"/>
          <w:rtl w:val="0"/>
        </w:rPr>
        <w:t xml:space="preserve"> ha previsto che sono esentate dal pagamento dell'imposta gli atti a favore delle Organizzazioni di volontariato nonché delle Cooperative Sociali, che risultino regolarmente iscritte al Registro Unico Nazionale del Terzo Settore (RUNTS). </w:t>
      </w:r>
    </w:p>
    <w:p w:rsidR="00000000" w:rsidDel="00000000" w:rsidP="00000000" w:rsidRDefault="00000000" w:rsidRPr="00000000" w14:paraId="0000015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3333"/>
          <w:sz w:val="24"/>
          <w:szCs w:val="24"/>
        </w:rPr>
      </w:pPr>
      <w:r w:rsidDel="00000000" w:rsidR="00000000" w:rsidRPr="00000000">
        <w:rPr>
          <w:rFonts w:ascii="Comic Sans MS" w:cs="Comic Sans MS" w:eastAsia="Comic Sans MS" w:hAnsi="Comic Sans MS"/>
          <w:i w:val="0"/>
          <w:smallCaps w:val="0"/>
          <w:strike w:val="0"/>
          <w:color w:val="ff3333"/>
          <w:sz w:val="24"/>
          <w:szCs w:val="24"/>
          <w:u w:val="none"/>
          <w:vertAlign w:val="baseline"/>
          <w:rtl w:val="0"/>
        </w:rPr>
        <w:t xml:space="preserve">L’esenzione totale dall’imposta va, al contrario, </w:t>
      </w:r>
      <w:r w:rsidDel="00000000" w:rsidR="00000000" w:rsidRPr="00000000">
        <w:rPr>
          <w:rFonts w:ascii="Comic Sans MS" w:cs="Comic Sans MS" w:eastAsia="Comic Sans MS" w:hAnsi="Comic Sans MS"/>
          <w:color w:val="ff3333"/>
          <w:sz w:val="24"/>
          <w:szCs w:val="24"/>
          <w:rtl w:val="0"/>
        </w:rPr>
        <w:t xml:space="preserve">esclusa per le Associazioni di Promozione Sociale (APS) e per tutti gli altri enti del settore non ricadenti nelle categorie sopra richiamate. </w:t>
      </w:r>
    </w:p>
    <w:p w:rsidR="00000000" w:rsidDel="00000000" w:rsidP="00000000" w:rsidRDefault="00000000" w:rsidRPr="00000000" w14:paraId="0000016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3333"/>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i w:val="0"/>
          <w:smallCaps w:val="0"/>
          <w:strike w:val="0"/>
          <w:color w:val="ff3333"/>
          <w:sz w:val="24"/>
          <w:szCs w:val="24"/>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ff3333"/>
          <w:sz w:val="24"/>
          <w:szCs w:val="24"/>
          <w:u w:val="none"/>
          <w:vertAlign w:val="baseline"/>
          <w:rtl w:val="0"/>
        </w:rPr>
        <w:t xml:space="preserve">Lucca</w:t>
      </w:r>
      <w:r w:rsidDel="00000000" w:rsidR="00000000" w:rsidRPr="00000000">
        <w:rPr>
          <w:rFonts w:ascii="Comic Sans MS" w:cs="Comic Sans MS" w:eastAsia="Comic Sans MS" w:hAnsi="Comic Sans MS"/>
          <w:i w:val="0"/>
          <w:smallCaps w:val="0"/>
          <w:strike w:val="0"/>
          <w:color w:val="ff3333"/>
          <w:sz w:val="24"/>
          <w:szCs w:val="24"/>
          <w:u w:val="none"/>
          <w:vertAlign w:val="baseline"/>
          <w:rtl w:val="0"/>
        </w:rPr>
        <w:t xml:space="preserve"> ha previsto che sono esentate dal pagamento dell'imposta gli atti a favore delle Organizzazioni di volontariato. Per tutti gli al</w:t>
      </w:r>
      <w:r w:rsidDel="00000000" w:rsidR="00000000" w:rsidRPr="00000000">
        <w:rPr>
          <w:rFonts w:ascii="Comic Sans MS" w:cs="Comic Sans MS" w:eastAsia="Comic Sans MS" w:hAnsi="Comic Sans MS"/>
          <w:i w:val="0"/>
          <w:smallCaps w:val="0"/>
          <w:strike w:val="0"/>
          <w:color w:val="ff0000"/>
          <w:sz w:val="24"/>
          <w:szCs w:val="24"/>
          <w:u w:val="none"/>
          <w:vertAlign w:val="baseline"/>
          <w:rtl w:val="0"/>
        </w:rPr>
        <w:t xml:space="preserve">tri Enti del Terzo Settore iscritti al RUNTS, è previsto il pagamento dell'IPT agevolata al 10% </w:t>
      </w:r>
      <w:r w:rsidDel="00000000" w:rsidR="00000000" w:rsidRPr="00000000">
        <w:rPr>
          <w:rFonts w:ascii="Comic Sans MS" w:cs="Comic Sans MS" w:eastAsia="Comic Sans MS" w:hAnsi="Comic Sans MS"/>
          <w:color w:val="ff0000"/>
          <w:sz w:val="24"/>
          <w:szCs w:val="24"/>
          <w:rtl w:val="0"/>
        </w:rPr>
        <w:t xml:space="preserve">.</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sz w:val="24"/>
          <w:szCs w:val="24"/>
          <w:u w:val="none"/>
          <w:shd w:fill="auto" w:val="clear"/>
          <w:vertAlign w:val="baseline"/>
          <w:rtl w:val="0"/>
        </w:rPr>
        <w:t xml:space="preserve"> ha confermato l’esenzione IPT in favore delle Organizzazioni di Volontariato nelle more della modifica del proprio Regolamento IPT e, comunque, non oltre il 31/12/2024.</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SW non prevedono alcun flag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ad hoc</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pratiche Copernico, presente nel campo esenzione.</w:t>
      </w:r>
    </w:p>
    <w:p w:rsidR="00000000" w:rsidDel="00000000" w:rsidP="00000000" w:rsidRDefault="00000000" w:rsidRPr="00000000" w14:paraId="0000016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Viterbo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per le pratiche Copernico );</w:t>
      </w:r>
    </w:p>
    <w:p w:rsidR="00000000" w:rsidDel="00000000" w:rsidP="00000000" w:rsidRDefault="00000000" w:rsidRPr="00000000" w14:paraId="000001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284"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l’IPT in misura fissa per gli atti a favore Imprese Sociali costituite anche in forma di cooperativa iscritte al RUNTS. Per il corretto calcolo degli importi, nelle more del rilascio di uno specifico flag del campo disabile, sarà possibile procedere valorizzando il flag “A” del campo esenzione..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284"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Lucca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6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Novara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valorizzare il flag “C” del campo disabile.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8"/>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ONG:</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l’esenzione dell’IPT per le formalità a favore delle Organizzazioni non governative riconosciute idonee ai sensi della L.16/02/1987 n.49.</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non prevedono alcun flag ad hoc per la gestione di tale casistica; per il corretto calcolo degli importi è necessario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X</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presente nel campo esenzione.</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CANCELLAZIONI DI IPOTECHE</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Arezzo,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Asti,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Biella, Cagliari, Messina,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Oristano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Pisa,</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Salerno, Sassari, Sud Sardegna,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Vercelli,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Autonoma Friuli Venezia Giulia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ATTI SOGGETTI AD IVA</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1"/>
          <w:numId w:val="2"/>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Valle D’Aosta, discostandosi da quanto precisato dal MEF con nota n°15508 del 12 settembre 2011 ,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2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formalità con atti soggetti ad IVA di competenza di tali Province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quindi più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necessario allegare alle formalità alcuna documentazione comprovante che l’atto sia soggetto ad IVA in quanto ciò non ha più ripercussioni di natura fiscale. Pertanto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11"/>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FORMALITA’ DI COMPETENZA DELLE PROVINCE AUTONOME:</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tariffa fissa a fronte di atti soggetti ad IVA è stata invece confermata per le formalità di competenza delle Province autonome di Bolzano e Trento ( circolare DSD n°14788 del 27.12.2011), con decorrenza- rispettivamente – dal 28.12.2011 e dal 29.12.2011.</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Quindi a fronte di tali formalità permane l’obbligo di allegare la fattura o equivalente documentazione fiscale in caso di atti soggetti ad IVA.  </w:t>
      </w:r>
    </w:p>
    <w:p w:rsidR="00000000" w:rsidDel="00000000" w:rsidP="00000000" w:rsidRDefault="00000000" w:rsidRPr="00000000" w14:paraId="0000019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9"/>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Crotone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La Spezia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FATTURE ESENTI DA IVA</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Bolzano e Trento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l’IPT in misura proporzionale</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trascrizioni relative ad operazioni esenti da IVA ai sensi dell’ art. 10, n. 27 quinquies del DPR 633/72.</w:t>
      </w:r>
    </w:p>
    <w:p w:rsidR="00000000" w:rsidDel="00000000" w:rsidP="00000000" w:rsidRDefault="00000000" w:rsidRPr="00000000" w14:paraId="000001A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AGEVOLAZIONI IPT PER VEICOLI “STORICI”.</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con il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solo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B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B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precisa 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Campobasso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limitato l’obbligo di allegare la dichiarazione sostitutiva di uso non professionale alle formalità aventi ad oggetto tutte le classi di veicoli escluso motocicli, motocarrozzette, autovetture, autoveicoli ad uso promiscuo e autocaravan in quanto tali tipologie di veicoli non sono da considerarsi ad uso professionale e, pertanto, la Provincia non ritiene necessario alcun controllo preventivo.</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Parma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si presume l'uso professionale del veicolo o del motoveicolo nel caso di intestazione in capo a soggetti titolari di partita IVA. Pertanto, l’agevolazione non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C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Venezia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C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Catania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 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(calcolati dalla data di immatricolazione del veicolo). 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Grosseto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non possono essere riconosciute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C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Piacenza, 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Rovigo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C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Verona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C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C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C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Vicenza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alla pratica con richiesta di agevolazione si dovrà allegare la DS di uso non professionale per tutti i veicoli, ad eccezione dei motocicli.</w:t>
      </w:r>
    </w:p>
    <w:p w:rsidR="00000000" w:rsidDel="00000000" w:rsidP="00000000" w:rsidRDefault="00000000" w:rsidRPr="00000000" w14:paraId="000001D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Treviso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Fermo, Ascoli Piceno e 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D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D7">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Bergamo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sono esclusi dall'agevolazione i veicoli destinati al trasporto merci ed i veicoli ad uso speciale per i quali si presume sempre l'uso professionale, a meno che non siano iscritti nei registri storici ASI , FMI., Storico Lancia, Italiano Fiat e Italiano Alfa Romeo. Tale disposizione decorre dal 01.01.2015.</w:t>
      </w:r>
    </w:p>
    <w:p w:rsidR="00000000" w:rsidDel="00000000" w:rsidP="00000000" w:rsidRDefault="00000000" w:rsidRPr="00000000" w14:paraId="000001D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tutte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le formalità.</w:t>
      </w:r>
    </w:p>
    <w:p w:rsidR="00000000" w:rsidDel="00000000" w:rsidP="00000000" w:rsidRDefault="00000000" w:rsidRPr="00000000" w14:paraId="000001D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Belluno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D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D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1E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1E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Messina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1E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Mantova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1E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1E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1E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1E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253" w:hanging="2"/>
        <w:jc w:val="both"/>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ATTENZIONE:</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1"/>
        <w:jc w:val="both"/>
        <w:rPr>
          <w:rFonts w:ascii="Comic Sans MS" w:cs="Comic Sans MS" w:eastAsia="Comic Sans MS" w:hAnsi="Comic Sans M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p>
    <w:p w:rsidR="00000000" w:rsidDel="00000000" w:rsidP="00000000" w:rsidRDefault="00000000" w:rsidRPr="00000000" w14:paraId="000001E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tale regola generale fa eccezione la Provincia autonoma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1E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2"/>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 conseguenza, solo per le formalità di competenza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278" w:hanging="1"/>
        <w:jc w:val="both"/>
        <w:rPr>
          <w:rFonts w:ascii="Comic Sans MS" w:cs="Comic Sans MS" w:eastAsia="Comic Sans MS" w:hAnsi="Comic Sans M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1F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395"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ALTRE CASISTICHE PARTICOLARI:</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19"/>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1FF">
      <w:pPr>
        <w:keepNext w:val="0"/>
        <w:keepLines w:val="0"/>
        <w:pageBreakBefore w:val="0"/>
        <w:widowControl w:val="1"/>
        <w:numPr>
          <w:ilvl w:val="0"/>
          <w:numId w:val="19"/>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(sempre a far data dal 01 gennaio 2012),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01.01.2017),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Milano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decorrenza 01/01/2018),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Monza Brianza, Foggia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dall’11/03/2019),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Trapani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25/11/2019),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Bolzano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01/01/2000), Le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cco, Nuoro, Pavia, Cremona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Cuneo</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01/01/2020),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Sassari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01/01/2021),</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Agrigento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01/01/2022)</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Como, Rieti, Rovigo, Vicenza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01/01/2023),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Reggio Calabria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03/06/2023) ,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Chieti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10/11/2023) hanno previsto che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va pagata IPT in caso di acquisti di veicoli da parte della stessa Provincia; in tali casi, infatti, il soggetto attivo e passivo d’imposta coincidono. Per il corretto calcolo degli importi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disabile presente nella maschera degli importi delle procedure telematiche. </w:t>
      </w:r>
    </w:p>
    <w:p w:rsidR="00000000" w:rsidDel="00000000" w:rsidP="00000000" w:rsidRDefault="00000000" w:rsidRPr="00000000" w14:paraId="0000020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19"/>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Perugia e Terni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19"/>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nonché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Agrigento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(queste ultime due Province limitatamente alle formalità di prima iscrizione al PRA di veicolo nuovo), hanno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0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0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0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0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Firenze,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su tale punto, ha precisato che l’agevolazione può essere concessa a tutte le Imprese iscritte alla Camera di Commercio che risultino attive e che utilizzino il veicolo per la propria attività di impresa (quindi non solo a favore di imprese che esercitano attività di autotrasporto cose in conto proprio).</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65" w:hanging="2"/>
        <w:jc w:val="both"/>
        <w:rPr>
          <w:rFonts w:ascii="Arial" w:cs="Arial" w:eastAsia="Arial" w:hAnsi="Arial"/>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Peraltro, così come comunicato con nota 9266 del 07/07/2005, il Servizio “ Politiche delle Entrate” della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L’Amministrazione Provinciale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Roma,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Anche 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1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Firenze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nota n° 385651 del 09/09/2014, ha precisato che la concessione dell’agevolazione IPT deve applicarsi anche ai Trattori stradali destinati al traino di semirimorchi. 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hyperlink r:id="rId10">
        <w:r w:rsidDel="00000000" w:rsidR="00000000" w:rsidRPr="00000000">
          <w:rPr>
            <w:rFonts w:ascii="Comic Sans MS" w:cs="Comic Sans MS" w:eastAsia="Comic Sans MS" w:hAnsi="Comic Sans MS"/>
            <w:b w:val="0"/>
            <w:i w:val="0"/>
            <w:smallCaps w:val="0"/>
            <w:strike w:val="0"/>
            <w:color w:val="0563c1"/>
            <w:sz w:val="24"/>
            <w:szCs w:val="24"/>
            <w:u w:val="single"/>
            <w:shd w:fill="auto" w:val="clear"/>
            <w:vertAlign w:val="baseline"/>
            <w:rtl w:val="0"/>
          </w:rPr>
          <w:t xml:space="preserve">http://www.up.aci.it/firenze/IMG/pdf/Dichiarazione_sostitutiva_per_autocarri-6.pdf</w:t>
        </w:r>
      </w:hyperlink>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numPr>
          <w:ilvl w:val="0"/>
          <w:numId w:val="17"/>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 far data dal 01/01/2019),</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limitatamente alle formalità di prima iscrizione di veicolo nuovo, ha previsto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1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1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1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2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2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2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 formalità relative a veicoli per trasporto specifico e a trattori stradali destinati al traino di semirimorchi.</w:t>
      </w:r>
    </w:p>
    <w:p w:rsidR="00000000" w:rsidDel="00000000" w:rsidP="00000000" w:rsidRDefault="00000000" w:rsidRPr="00000000" w14:paraId="0000022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Bari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veicoli uso locazione senza conducente a favore di imprese esercenti i servizi di locazione senza conducente;</w:t>
      </w:r>
    </w:p>
    <w:p w:rsidR="00000000" w:rsidDel="00000000" w:rsidP="00000000" w:rsidRDefault="00000000" w:rsidRPr="00000000" w14:paraId="0000022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far data dal 16/06/2014</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Brescia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3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highlight w:val="white"/>
          <w:u w:val="none"/>
          <w:vertAlign w:val="baseline"/>
          <w:rtl w:val="0"/>
        </w:rPr>
        <w:t xml:space="preserve">Reggio Emilia</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 ha previsto, dal 01.01.2024, </w:t>
      </w:r>
      <w:r w:rsidDel="00000000" w:rsidR="00000000" w:rsidRPr="00000000">
        <w:rPr>
          <w:rFonts w:ascii="Times New Roman" w:cs="Times New Roman" w:eastAsia="Times New Roman" w:hAnsi="Times New Roman"/>
          <w:b w:val="0"/>
          <w:i w:val="0"/>
          <w:smallCaps w:val="0"/>
          <w:strike w:val="0"/>
          <w:color w:val="000000"/>
          <w:sz w:val="14"/>
          <w:szCs w:val="14"/>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3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3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3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53"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highlight w:val="white"/>
          <w:u w:val="none"/>
          <w:vertAlign w:val="baselin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10"/>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Veicoli sanitari e ambulanze acquistate da ASL e da altre Associazioni di pubblica assistenza diverse dalle Onlus;</w:t>
      </w:r>
    </w:p>
    <w:p w:rsidR="00000000" w:rsidDel="00000000" w:rsidP="00000000" w:rsidRDefault="00000000" w:rsidRPr="00000000" w14:paraId="0000023D">
      <w:pPr>
        <w:keepNext w:val="0"/>
        <w:keepLines w:val="0"/>
        <w:pageBreakBefore w:val="0"/>
        <w:widowControl w:val="1"/>
        <w:numPr>
          <w:ilvl w:val="0"/>
          <w:numId w:val="10"/>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Mezzi di trasporto pubblico acquistate dalle aziende di trasporto pubblico locale.</w:t>
      </w:r>
    </w:p>
    <w:p w:rsidR="00000000" w:rsidDel="00000000" w:rsidP="00000000" w:rsidRDefault="00000000" w:rsidRPr="00000000" w14:paraId="0000023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3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12"/>
        </w:numPr>
        <w:pBdr>
          <w:top w:color="auto" w:space="0" w:sz="0" w:val="none"/>
          <w:left w:color="auto" w:space="0" w:sz="0" w:val="none"/>
          <w:bottom w:color="auto" w:space="0" w:sz="0" w:val="none"/>
          <w:right w:color="auto" w:space="0" w:sz="0" w:val="none"/>
          <w:between w:space="0" w:sz="0" w:val="nil"/>
        </w:pBdr>
        <w:shd w:fill="ffffff" w:val="clear"/>
        <w:tabs>
          <w:tab w:val="left" w:leader="none" w:pos="2127"/>
        </w:tabs>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 oltre 1 anno di tardività;</w:t>
      </w:r>
    </w:p>
    <w:p w:rsidR="00000000" w:rsidDel="00000000" w:rsidP="00000000" w:rsidRDefault="00000000" w:rsidRPr="00000000" w14:paraId="00000243">
      <w:pPr>
        <w:keepNext w:val="0"/>
        <w:keepLines w:val="0"/>
        <w:pageBreakBefore w:val="0"/>
        <w:widowControl w:val="1"/>
        <w:numPr>
          <w:ilvl w:val="0"/>
          <w:numId w:val="12"/>
        </w:numPr>
        <w:pBdr>
          <w:top w:color="auto" w:space="0" w:sz="0" w:val="none"/>
          <w:left w:color="auto" w:space="0" w:sz="0" w:val="none"/>
          <w:bottom w:color="auto" w:space="0" w:sz="0" w:val="none"/>
          <w:right w:color="auto" w:space="0" w:sz="0" w:val="none"/>
          <w:between w:space="0" w:sz="0" w:val="nil"/>
        </w:pBdr>
        <w:shd w:fill="ffffff" w:val="clear"/>
        <w:tabs>
          <w:tab w:val="left" w:leader="none" w:pos="2127"/>
        </w:tabs>
        <w:spacing w:after="0" w:before="0" w:line="240" w:lineRule="auto"/>
        <w:ind w:left="0" w:right="0"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4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Inoltre, sempre la Regione Autonoma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Valle d’Aosta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veicoli di origine sconosciuta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Forlì-Cesena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Ravenna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12"/>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4B">
      <w:pPr>
        <w:keepNext w:val="0"/>
        <w:keepLines w:val="0"/>
        <w:pageBreakBefore w:val="0"/>
        <w:widowControl w:val="1"/>
        <w:numPr>
          <w:ilvl w:val="0"/>
          <w:numId w:val="12"/>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nome e del cognome in seguito ad apposito decreto prefettizio;</w:t>
      </w:r>
    </w:p>
    <w:p w:rsidR="00000000" w:rsidDel="00000000" w:rsidP="00000000" w:rsidRDefault="00000000" w:rsidRPr="00000000" w14:paraId="0000024C">
      <w:pPr>
        <w:keepNext w:val="0"/>
        <w:keepLines w:val="0"/>
        <w:pageBreakBefore w:val="0"/>
        <w:widowControl w:val="1"/>
        <w:numPr>
          <w:ilvl w:val="0"/>
          <w:numId w:val="12"/>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Rettifica dello stato civile a seguito di decreto emesso dal tribunale;</w:t>
      </w:r>
    </w:p>
    <w:p w:rsidR="00000000" w:rsidDel="00000000" w:rsidP="00000000" w:rsidRDefault="00000000" w:rsidRPr="00000000" w14:paraId="0000024D">
      <w:pPr>
        <w:keepNext w:val="0"/>
        <w:keepLines w:val="0"/>
        <w:pageBreakBefore w:val="0"/>
        <w:widowControl w:val="1"/>
        <w:numPr>
          <w:ilvl w:val="0"/>
          <w:numId w:val="12"/>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in seguito ad adozione;</w:t>
      </w:r>
    </w:p>
    <w:p w:rsidR="00000000" w:rsidDel="00000000" w:rsidP="00000000" w:rsidRDefault="00000000" w:rsidRPr="00000000" w14:paraId="0000024E">
      <w:pPr>
        <w:keepNext w:val="0"/>
        <w:keepLines w:val="0"/>
        <w:pageBreakBefore w:val="0"/>
        <w:widowControl w:val="1"/>
        <w:numPr>
          <w:ilvl w:val="0"/>
          <w:numId w:val="12"/>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2"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Ascoli Piceno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7"/>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esibizione dell'originale al pubblico ufficiale e conformità sulla copia dichiarata dallo stesso</w:t>
      </w:r>
    </w:p>
    <w:p w:rsidR="00000000" w:rsidDel="00000000" w:rsidP="00000000" w:rsidRDefault="00000000" w:rsidRPr="00000000" w14:paraId="00000255">
      <w:pPr>
        <w:keepNext w:val="0"/>
        <w:keepLines w:val="0"/>
        <w:pageBreakBefore w:val="0"/>
        <w:widowControl w:val="1"/>
        <w:numPr>
          <w:ilvl w:val="0"/>
          <w:numId w:val="7"/>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rilascio copia conforme all'originale da parte del soggetto che conserva l'originale</w:t>
      </w:r>
    </w:p>
    <w:p w:rsidR="00000000" w:rsidDel="00000000" w:rsidP="00000000" w:rsidRDefault="00000000" w:rsidRPr="00000000" w14:paraId="00000256">
      <w:pPr>
        <w:keepNext w:val="0"/>
        <w:keepLines w:val="0"/>
        <w:pageBreakBefore w:val="0"/>
        <w:widowControl w:val="1"/>
        <w:numPr>
          <w:ilvl w:val="0"/>
          <w:numId w:val="7"/>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ds di atto notorio.</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1" w:right="284"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36"/>
          <w:szCs w:val="36"/>
          <w:u w:val="single"/>
          <w:shd w:fill="auto" w:val="clear"/>
          <w:vertAlign w:val="baseline"/>
          <w:rtl w:val="0"/>
        </w:rPr>
        <w:t xml:space="preserve">NUOVI REGOLAMENTI IPT</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a tutela del venditore: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5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recupero dell’imposta nei confronti del soggetto acquirente verrà effettuato direttamente dalla Provincia.</w:t>
      </w:r>
    </w:p>
    <w:p w:rsidR="00000000" w:rsidDel="00000000" w:rsidP="00000000" w:rsidRDefault="00000000" w:rsidRPr="00000000" w14:paraId="0000025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6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6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Atto pubblico</w:t>
      </w:r>
    </w:p>
    <w:p w:rsidR="00000000" w:rsidDel="00000000" w:rsidP="00000000" w:rsidRDefault="00000000" w:rsidRPr="00000000" w14:paraId="0000026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Scrittura privata</w:t>
      </w:r>
    </w:p>
    <w:p w:rsidR="00000000" w:rsidDel="00000000" w:rsidP="00000000" w:rsidRDefault="00000000" w:rsidRPr="00000000" w14:paraId="0000026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Tutela del venditore.- Sentenza Giudiziaria</w:t>
      </w:r>
    </w:p>
    <w:p w:rsidR="00000000" w:rsidDel="00000000" w:rsidP="00000000" w:rsidRDefault="00000000" w:rsidRPr="00000000" w14:paraId="0000026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Tutela del venditore – Atto Amministrativo</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 </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Le Province di</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Agrigento,</w:t>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Alessandria, Arezzo, Oristano, Pisa, Rovigo, Torino , Verbano Cusio Ossola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6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Regione 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precisato che la fotocopia del documento, anche  se scaduto, può essere accettata.</w:t>
      </w:r>
    </w:p>
    <w:p w:rsidR="00000000" w:rsidDel="00000000" w:rsidP="00000000" w:rsidRDefault="00000000" w:rsidRPr="00000000" w14:paraId="0000026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b w:val="0"/>
          <w:i w:val="0"/>
          <w:smallCaps w:val="0"/>
          <w:strike w:val="0"/>
          <w:color w:val="000000"/>
          <w:sz w:val="24"/>
          <w:szCs w:val="24"/>
          <w:u w:val="single"/>
          <w:shd w:fill="auto" w:val="clear"/>
          <w:vertAlign w:val="baseline"/>
          <w:rtl w:val="0"/>
        </w:rPr>
        <w:t xml:space="preserve">non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è stata prevista, invece, dalla Regione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Friuli Venezia Giulia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Torino,</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6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Lucca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precisato</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che il venditore, rimasto intestatario al PRA,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Regione autonoma Valle d’</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Aosta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6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7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7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Macerata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dovranno essere valorizzati:</w:t>
      </w:r>
    </w:p>
    <w:p w:rsidR="00000000" w:rsidDel="00000000" w:rsidP="00000000" w:rsidRDefault="00000000" w:rsidRPr="00000000" w14:paraId="0000027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nel campo “forma atto” presente nella maschera documentazione delle procedure telematiche, uno dei seguenti valori:</w:t>
      </w:r>
    </w:p>
    <w:p w:rsidR="00000000" w:rsidDel="00000000" w:rsidP="00000000" w:rsidRDefault="00000000" w:rsidRPr="00000000" w14:paraId="0000027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TA: Tutela del venditore- Atto pubblico</w:t>
      </w:r>
    </w:p>
    <w:p w:rsidR="00000000" w:rsidDel="00000000" w:rsidP="00000000" w:rsidRDefault="00000000" w:rsidRPr="00000000" w14:paraId="0000027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TB: Tutela del venditore - Scrittura privata</w:t>
      </w:r>
    </w:p>
    <w:p w:rsidR="00000000" w:rsidDel="00000000" w:rsidP="00000000" w:rsidRDefault="00000000" w:rsidRPr="00000000" w14:paraId="0000027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TC: Tutela del venditore.- Sentenza Giudiziaria</w:t>
      </w:r>
    </w:p>
    <w:p w:rsidR="00000000" w:rsidDel="00000000" w:rsidP="00000000" w:rsidRDefault="00000000" w:rsidRPr="00000000" w14:paraId="0000027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TD: Tutela del venditore – Atto Amministrativo</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campo “agevolazione disabile” presente nella maschera degli importi il flag “V”.</w:t>
      </w:r>
    </w:p>
    <w:p w:rsidR="00000000" w:rsidDel="00000000" w:rsidP="00000000" w:rsidRDefault="00000000" w:rsidRPr="00000000" w14:paraId="0000027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2)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Trasferimento di proprietà ex art.2688 c.c.: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84"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Modico valore: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Gestione formalità respinte: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il nuovo Regolamento IPT prevede che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8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altri termini ciò significa che pure nel caso in cui in prima istanza sia stato versato un importo IPT uguale o superiore all’IPT base ma inferiore a quanto dovuto, trascorsi i termini di tardività , è necessario corrispondere sanzioni e interessi moratori.</w:t>
      </w:r>
    </w:p>
    <w:p w:rsidR="00000000" w:rsidDel="00000000" w:rsidP="00000000" w:rsidRDefault="00000000" w:rsidRPr="00000000" w14:paraId="0000028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85">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4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40" w:lineRule="auto"/>
        <w:ind w:left="0" w:right="271"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5)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Rimborso IPT: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la Provincia di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Ancona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con delibera</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200" w:before="0" w:line="276"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mic Sans MS"/>
  <w:font w:name="Calibri"/>
  <w:font w:name="MS Gothic"/>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2">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3">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4">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abstractNum w:abstractNumId="5">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6">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0">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18">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abstractNum w:abstractNumId="19">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21">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0"/>
      <w:suppressAutoHyphens w:val="0"/>
      <w:bidi w:val="0"/>
      <w:spacing w:line="1" w:lineRule="atLeast"/>
      <w:ind w:left="0" w:right="0" w:leftChars="-1" w:rightChars="0" w:hanging="1"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Intestazione1">
    <w:name w:val="Intestazione 1"/>
    <w:basedOn w:val="Predefinito"/>
    <w:next w:val="Predefinito"/>
    <w:autoRedefine w:val="0"/>
    <w:hidden w:val="0"/>
    <w:qFormat w:val="0"/>
    <w:pPr>
      <w:keepNext w:val="1"/>
      <w:keepLines w:val="1"/>
      <w:pageBreakBefore w:val="0"/>
      <w:widowControl w:val="0"/>
      <w:numPr>
        <w:ilvl w:val="0"/>
        <w:numId w:val="1"/>
      </w:numPr>
      <w:shd w:color="auto" w:fill="ffffff" w:val="clear"/>
      <w:suppressAutoHyphens w:val="0"/>
      <w:bidi w:val="0"/>
      <w:spacing w:after="120" w:before="480" w:line="240" w:lineRule="auto"/>
      <w:ind w:left="0" w:right="0" w:leftChars="-1" w:rightChars="0" w:firstLine="0" w:firstLineChars="-1"/>
      <w:jc w:val="left"/>
      <w:textDirection w:val="btLr"/>
      <w:textAlignment w:val="top"/>
      <w:outlineLvl w:val="0"/>
    </w:pPr>
    <w:rPr>
      <w:rFonts w:ascii="Times New Roman" w:cs="Times New Roman" w:eastAsia="Times New Roman" w:hAnsi="Times New Roman"/>
      <w:b w:val="1"/>
      <w:i w:val="0"/>
      <w:caps w:val="0"/>
      <w:smallCaps w:val="0"/>
      <w:strike w:val="0"/>
      <w:dstrike w:val="0"/>
      <w:color w:val="000000"/>
      <w:w w:val="100"/>
      <w:position w:val="0"/>
      <w:sz w:val="48"/>
      <w:szCs w:val="48"/>
      <w:u w:val="none"/>
      <w:effect w:val="none"/>
      <w:shd w:color="auto" w:fill="auto" w:val="clear"/>
      <w:vertAlign w:val="baseline"/>
      <w:cs w:val="0"/>
      <w:em w:val="none"/>
      <w:lang w:bidi="ar-SA" w:eastAsia="zh-CN" w:val="it-IT"/>
    </w:rPr>
  </w:style>
  <w:style w:type="paragraph" w:styleId="Intestazione2">
    <w:name w:val="Intestazione 2"/>
    <w:basedOn w:val="Predefinito"/>
    <w:next w:val="Predefinito"/>
    <w:autoRedefine w:val="0"/>
    <w:hidden w:val="0"/>
    <w:qFormat w:val="0"/>
    <w:pPr>
      <w:keepNext w:val="1"/>
      <w:keepLines w:val="1"/>
      <w:pageBreakBefore w:val="0"/>
      <w:widowControl w:val="0"/>
      <w:numPr>
        <w:ilvl w:val="1"/>
        <w:numId w:val="1"/>
      </w:numPr>
      <w:shd w:color="auto" w:fill="ffffff" w:val="clear"/>
      <w:suppressAutoHyphens w:val="0"/>
      <w:bidi w:val="0"/>
      <w:spacing w:after="80" w:before="360" w:line="240" w:lineRule="auto"/>
      <w:ind w:left="0" w:right="0" w:leftChars="-1" w:rightChars="0" w:firstLine="0" w:firstLineChars="-1"/>
      <w:jc w:val="left"/>
      <w:textDirection w:val="btLr"/>
      <w:textAlignment w:val="top"/>
      <w:outlineLvl w:val="1"/>
    </w:pPr>
    <w:rPr>
      <w:rFonts w:ascii="Times New Roman" w:cs="Times New Roman" w:eastAsia="Times New Roman" w:hAnsi="Times New Roman"/>
      <w:b w:val="1"/>
      <w:i w:val="0"/>
      <w:caps w:val="0"/>
      <w:smallCaps w:val="0"/>
      <w:strike w:val="0"/>
      <w:dstrike w:val="0"/>
      <w:color w:val="000000"/>
      <w:w w:val="100"/>
      <w:position w:val="0"/>
      <w:sz w:val="36"/>
      <w:szCs w:val="36"/>
      <w:u w:val="none"/>
      <w:effect w:val="none"/>
      <w:shd w:color="auto" w:fill="auto" w:val="clear"/>
      <w:vertAlign w:val="baseline"/>
      <w:cs w:val="0"/>
      <w:em w:val="none"/>
      <w:lang w:bidi="ar-SA" w:eastAsia="zh-CN" w:val="it-IT"/>
    </w:rPr>
  </w:style>
  <w:style w:type="paragraph" w:styleId="Intestazione3">
    <w:name w:val="Intestazione 3"/>
    <w:basedOn w:val="Predefinito"/>
    <w:next w:val="Predefinito"/>
    <w:autoRedefine w:val="0"/>
    <w:hidden w:val="0"/>
    <w:qFormat w:val="0"/>
    <w:pPr>
      <w:keepNext w:val="1"/>
      <w:keepLines w:val="1"/>
      <w:pageBreakBefore w:val="0"/>
      <w:widowControl w:val="0"/>
      <w:numPr>
        <w:ilvl w:val="2"/>
        <w:numId w:val="1"/>
      </w:numPr>
      <w:shd w:color="auto" w:fill="ffffff" w:val="clear"/>
      <w:suppressAutoHyphens w:val="0"/>
      <w:bidi w:val="0"/>
      <w:spacing w:after="80" w:before="280" w:line="240" w:lineRule="auto"/>
      <w:ind w:left="0" w:right="0" w:leftChars="-1" w:rightChars="0" w:firstLine="0" w:firstLineChars="-1"/>
      <w:jc w:val="left"/>
      <w:textDirection w:val="btLr"/>
      <w:textAlignment w:val="top"/>
      <w:outlineLvl w:val="2"/>
    </w:pPr>
    <w:rPr>
      <w:rFonts w:ascii="Times New Roman" w:cs="Times New Roman" w:eastAsia="Times New Roman" w:hAnsi="Times New Roman"/>
      <w:b w:val="1"/>
      <w:i w:val="0"/>
      <w:caps w:val="0"/>
      <w:smallCaps w:val="0"/>
      <w:strike w:val="0"/>
      <w:dstrike w:val="0"/>
      <w:color w:val="000000"/>
      <w:w w:val="100"/>
      <w:position w:val="0"/>
      <w:sz w:val="28"/>
      <w:szCs w:val="28"/>
      <w:u w:val="none"/>
      <w:effect w:val="none"/>
      <w:shd w:color="auto" w:fill="auto" w:val="clear"/>
      <w:vertAlign w:val="baseline"/>
      <w:cs w:val="0"/>
      <w:em w:val="none"/>
      <w:lang w:bidi="ar-SA" w:eastAsia="zh-CN" w:val="it-IT"/>
    </w:rPr>
  </w:style>
  <w:style w:type="paragraph" w:styleId="Intestazione4">
    <w:name w:val="Intestazione 4"/>
    <w:basedOn w:val="Predefinito"/>
    <w:next w:val="Predefinito"/>
    <w:autoRedefine w:val="0"/>
    <w:hidden w:val="0"/>
    <w:qFormat w:val="0"/>
    <w:pPr>
      <w:keepNext w:val="1"/>
      <w:keepLines w:val="1"/>
      <w:pageBreakBefore w:val="0"/>
      <w:widowControl w:val="0"/>
      <w:numPr>
        <w:ilvl w:val="3"/>
        <w:numId w:val="1"/>
      </w:numPr>
      <w:shd w:color="auto" w:fill="ffffff" w:val="clear"/>
      <w:suppressAutoHyphens w:val="0"/>
      <w:bidi w:val="0"/>
      <w:spacing w:after="40" w:before="240" w:line="240" w:lineRule="auto"/>
      <w:ind w:left="0" w:right="0" w:leftChars="-1" w:rightChars="0" w:firstLine="0" w:firstLineChars="-1"/>
      <w:jc w:val="left"/>
      <w:textDirection w:val="btLr"/>
      <w:textAlignment w:val="top"/>
      <w:outlineLvl w:val="3"/>
    </w:pPr>
    <w:rPr>
      <w:rFonts w:ascii="Times New Roman" w:cs="Times New Roman" w:eastAsia="Times New Roman" w:hAnsi="Times New Roman"/>
      <w:b w:val="1"/>
      <w:i w:val="0"/>
      <w:caps w:val="0"/>
      <w:smallCaps w:val="0"/>
      <w:strike w:val="0"/>
      <w:dstrike w:val="0"/>
      <w:color w:val="000000"/>
      <w:w w:val="100"/>
      <w:position w:val="0"/>
      <w:sz w:val="24"/>
      <w:szCs w:val="24"/>
      <w:u w:val="none"/>
      <w:effect w:val="none"/>
      <w:shd w:color="auto" w:fill="auto" w:val="clear"/>
      <w:vertAlign w:val="baseline"/>
      <w:cs w:val="0"/>
      <w:em w:val="none"/>
      <w:lang w:bidi="ar-SA" w:eastAsia="zh-CN" w:val="it-IT"/>
    </w:rPr>
  </w:style>
  <w:style w:type="paragraph" w:styleId="Intestazione5">
    <w:name w:val="Intestazione 5"/>
    <w:basedOn w:val="Predefinito"/>
    <w:next w:val="Predefinito"/>
    <w:autoRedefine w:val="0"/>
    <w:hidden w:val="0"/>
    <w:qFormat w:val="0"/>
    <w:pPr>
      <w:keepNext w:val="1"/>
      <w:keepLines w:val="1"/>
      <w:pageBreakBefore w:val="0"/>
      <w:widowControl w:val="0"/>
      <w:numPr>
        <w:ilvl w:val="4"/>
        <w:numId w:val="1"/>
      </w:numPr>
      <w:shd w:color="auto" w:fill="ffffff" w:val="clear"/>
      <w:suppressAutoHyphens w:val="0"/>
      <w:bidi w:val="0"/>
      <w:spacing w:after="40" w:before="220" w:line="240" w:lineRule="auto"/>
      <w:ind w:left="0" w:right="0" w:leftChars="-1" w:rightChars="0" w:firstLine="0" w:firstLineChars="-1"/>
      <w:jc w:val="left"/>
      <w:textDirection w:val="btLr"/>
      <w:textAlignment w:val="top"/>
      <w:outlineLvl w:val="4"/>
    </w:pPr>
    <w:rPr>
      <w:rFonts w:ascii="Times New Roman" w:cs="Times New Roman" w:eastAsia="Times New Roman" w:hAnsi="Times New Roman"/>
      <w:b w:val="1"/>
      <w:i w:val="0"/>
      <w:caps w:val="0"/>
      <w:smallCaps w:val="0"/>
      <w:strike w:val="0"/>
      <w:dstrike w:val="0"/>
      <w:color w:val="000000"/>
      <w:w w:val="100"/>
      <w:position w:val="0"/>
      <w:sz w:val="22"/>
      <w:szCs w:val="22"/>
      <w:u w:val="none"/>
      <w:effect w:val="none"/>
      <w:shd w:color="auto" w:fill="auto" w:val="clear"/>
      <w:vertAlign w:val="baseline"/>
      <w:cs w:val="0"/>
      <w:em w:val="none"/>
      <w:lang w:bidi="ar-SA" w:eastAsia="zh-CN" w:val="it-IT"/>
    </w:rPr>
  </w:style>
  <w:style w:type="paragraph" w:styleId="Intestazione6">
    <w:name w:val="Intestazione 6"/>
    <w:basedOn w:val="Predefinito"/>
    <w:next w:val="Predefinito"/>
    <w:autoRedefine w:val="0"/>
    <w:hidden w:val="0"/>
    <w:qFormat w:val="0"/>
    <w:pPr>
      <w:keepNext w:val="1"/>
      <w:keepLines w:val="1"/>
      <w:pageBreakBefore w:val="0"/>
      <w:widowControl w:val="0"/>
      <w:numPr>
        <w:ilvl w:val="5"/>
        <w:numId w:val="1"/>
      </w:numPr>
      <w:shd w:color="auto" w:fill="ffffff" w:val="clear"/>
      <w:suppressAutoHyphens w:val="0"/>
      <w:bidi w:val="0"/>
      <w:spacing w:after="40" w:before="200" w:line="240" w:lineRule="auto"/>
      <w:ind w:left="0" w:right="0" w:leftChars="-1" w:rightChars="0" w:firstLine="0" w:firstLineChars="-1"/>
      <w:jc w:val="left"/>
      <w:textDirection w:val="btLr"/>
      <w:textAlignment w:val="top"/>
      <w:outlineLvl w:val="5"/>
    </w:pPr>
    <w:rPr>
      <w:rFonts w:ascii="Times New Roman" w:cs="Times New Roman" w:eastAsia="Times New Roman" w:hAnsi="Times New Roman"/>
      <w:b w:val="1"/>
      <w:i w:val="0"/>
      <w:caps w:val="0"/>
      <w:smallCaps w:val="0"/>
      <w:strike w:val="0"/>
      <w:dstrike w:val="0"/>
      <w:color w:val="000000"/>
      <w:w w:val="100"/>
      <w:position w:val="0"/>
      <w:sz w:val="20"/>
      <w:szCs w:val="20"/>
      <w:u w:val="none"/>
      <w:effect w:val="none"/>
      <w:shd w:color="auto" w:fill="auto" w:val="clear"/>
      <w:vertAlign w:val="baseline"/>
      <w:cs w:val="0"/>
      <w:em w:val="none"/>
      <w:lang w:bidi="ar-SA" w:eastAsia="zh-CN" w:val="it-IT"/>
    </w:rPr>
  </w:style>
  <w:style w:type="character" w:styleId="WW8Num1z0">
    <w:name w:val="WW8Num1z0"/>
    <w:next w:val="WW8Num1z0"/>
    <w:autoRedefine w:val="0"/>
    <w:hidden w:val="0"/>
    <w:qFormat w:val="0"/>
    <w:rPr>
      <w:rFonts w:ascii="Noto Sans Symbols" w:cs="Noto Sans Symbols" w:eastAsia="Noto Sans Symbols" w:hAnsi="Noto Sans Symbols"/>
      <w:w w:val="100"/>
      <w:position w:val="0"/>
      <w:sz w:val="24"/>
      <w:szCs w:val="24"/>
      <w:effect w:val="none"/>
      <w:vertAlign w:val="baseline"/>
      <w:cs w:val="0"/>
      <w:em w:val="none"/>
      <w:lang/>
    </w:rPr>
  </w:style>
  <w:style w:type="character" w:styleId="WW8Num2z0">
    <w:name w:val="WW8Num2z0"/>
    <w:next w:val="WW8Num2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2z1">
    <w:name w:val="WW8Num2z1"/>
    <w:next w:val="WW8Num2z1"/>
    <w:autoRedefine w:val="0"/>
    <w:hidden w:val="0"/>
    <w:qFormat w:val="0"/>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lang/>
    </w:rPr>
  </w:style>
  <w:style w:type="character" w:styleId="WW8Num3z0">
    <w:name w:val="WW8Num3z0"/>
    <w:next w:val="WW8Num3z0"/>
    <w:autoRedefine w:val="0"/>
    <w:hidden w:val="0"/>
    <w:qFormat w:val="0"/>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lang/>
    </w:rPr>
  </w:style>
  <w:style w:type="character" w:styleId="WW8Num4z0">
    <w:name w:val="WW8Num4z0"/>
    <w:next w:val="WW8Num4z0"/>
    <w:autoRedefine w:val="0"/>
    <w:hidden w:val="0"/>
    <w:qFormat w:val="0"/>
    <w:rPr>
      <w:w w:val="100"/>
      <w:position w:val="0"/>
      <w:sz w:val="24"/>
      <w:szCs w:val="24"/>
      <w:effect w:val="none"/>
      <w:vertAlign w:val="baseline"/>
      <w:cs w:val="0"/>
      <w:em w:val="none"/>
      <w:lang/>
    </w:rPr>
  </w:style>
  <w:style w:type="character" w:styleId="WW8Num4z1">
    <w:name w:val="WW8Num4z1"/>
    <w:next w:val="WW8Num4z1"/>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5z0">
    <w:name w:val="WW8Num5z0"/>
    <w:next w:val="WW8Num5z0"/>
    <w:autoRedefine w:val="0"/>
    <w:hidden w:val="0"/>
    <w:qFormat w:val="0"/>
    <w:rPr>
      <w:color w:val="000000"/>
      <w:w w:val="100"/>
      <w:position w:val="0"/>
      <w:sz w:val="28"/>
      <w:szCs w:val="28"/>
      <w:u w:val="none"/>
      <w:effect w:val="none"/>
      <w:vertAlign w:val="baseline"/>
      <w:cs w:val="0"/>
      <w:em w:val="none"/>
      <w:lang/>
    </w:rPr>
  </w:style>
  <w:style w:type="character" w:styleId="WW8Num5z1">
    <w:name w:val="WW8Num5z1"/>
    <w:next w:val="WW8Num5z1"/>
    <w:autoRedefine w:val="0"/>
    <w:hidden w:val="0"/>
    <w:qFormat w:val="0"/>
    <w:rPr>
      <w:w w:val="100"/>
      <w:position w:val="0"/>
      <w:sz w:val="24"/>
      <w:szCs w:val="24"/>
      <w:effect w:val="none"/>
      <w:vertAlign w:val="baseline"/>
      <w:cs w:val="0"/>
      <w:em w:val="none"/>
      <w:lang/>
    </w:rPr>
  </w:style>
  <w:style w:type="character" w:styleId="WW8Num6z0">
    <w:name w:val="WW8Num6z0"/>
    <w:next w:val="WW8Num6z0"/>
    <w:autoRedefine w:val="0"/>
    <w:hidden w:val="0"/>
    <w:qFormat w:val="0"/>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lang/>
    </w:rPr>
  </w:style>
  <w:style w:type="character" w:styleId="WW8Num6z1">
    <w:name w:val="WW8Num6z1"/>
    <w:next w:val="WW8Num6z1"/>
    <w:autoRedefine w:val="0"/>
    <w:hidden w:val="0"/>
    <w:qFormat w:val="0"/>
    <w:rPr>
      <w:rFonts w:ascii="Noto Sans Symbols" w:cs="Noto Sans Symbols" w:eastAsia="Noto Sans Symbols" w:hAnsi="Noto Sans Symbols"/>
      <w:w w:val="100"/>
      <w:position w:val="0"/>
      <w:sz w:val="24"/>
      <w:szCs w:val="24"/>
      <w:effect w:val="none"/>
      <w:vertAlign w:val="baseline"/>
      <w:cs w:val="0"/>
      <w:em w:val="none"/>
      <w:lang/>
    </w:rPr>
  </w:style>
  <w:style w:type="character" w:styleId="WW8Num7z0">
    <w:name w:val="WW8Num7z0"/>
    <w:next w:val="WW8Num7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7z1">
    <w:name w:val="WW8Num7z1"/>
    <w:next w:val="WW8Num7z1"/>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8z0">
    <w:name w:val="WW8Num8z0"/>
    <w:next w:val="WW8Num8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8z1">
    <w:name w:val="WW8Num8z1"/>
    <w:next w:val="WW8Num8z1"/>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9z0">
    <w:name w:val="WW8Num9z0"/>
    <w:next w:val="WW8Num9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9z1">
    <w:name w:val="WW8Num9z1"/>
    <w:next w:val="WW8Num9z1"/>
    <w:autoRedefine w:val="0"/>
    <w:hidden w:val="0"/>
    <w:qFormat w:val="0"/>
    <w:rPr>
      <w:rFonts w:ascii="Noto Sans Symbols" w:cs="Noto Sans Symbols" w:eastAsia="Noto Sans Symbols" w:hAnsi="Noto Sans Symbols"/>
      <w:w w:val="100"/>
      <w:position w:val="0"/>
      <w:sz w:val="24"/>
      <w:szCs w:val="24"/>
      <w:effect w:val="none"/>
      <w:vertAlign w:val="baseline"/>
      <w:cs w:val="0"/>
      <w:em w:val="none"/>
      <w:lang/>
    </w:rPr>
  </w:style>
  <w:style w:type="character" w:styleId="WW8Num10z0">
    <w:name w:val="WW8Num10z0"/>
    <w:next w:val="WW8Num10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1z0">
    <w:name w:val="WW8Num11z0"/>
    <w:next w:val="WW8Num11z0"/>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2z0">
    <w:name w:val="WW8Num12z0"/>
    <w:next w:val="WW8Num12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12z1">
    <w:name w:val="WW8Num12z1"/>
    <w:next w:val="WW8Num12z1"/>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3z0">
    <w:name w:val="WW8Num13z0"/>
    <w:next w:val="WW8Num13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13z1">
    <w:name w:val="WW8Num13z1"/>
    <w:next w:val="WW8Num13z1"/>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4z0">
    <w:name w:val="WW8Num14z0"/>
    <w:next w:val="WW8Num14z0"/>
    <w:autoRedefine w:val="0"/>
    <w:hidden w:val="0"/>
    <w:qFormat w:val="0"/>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lang/>
    </w:rPr>
  </w:style>
  <w:style w:type="character" w:styleId="WW8Num14z1">
    <w:name w:val="WW8Num14z1"/>
    <w:next w:val="WW8Num14z1"/>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5z0">
    <w:name w:val="WW8Num15z0"/>
    <w:next w:val="WW8Num15z0"/>
    <w:autoRedefine w:val="0"/>
    <w:hidden w:val="0"/>
    <w:qFormat w:val="0"/>
    <w:rPr>
      <w:rFonts w:ascii="Comic Sans MS" w:cs="Comic Sans MS" w:eastAsia="Comic Sans MS" w:hAnsi="Comic Sans MS"/>
      <w:w w:val="100"/>
      <w:position w:val="-1"/>
      <w:sz w:val="24"/>
      <w:szCs w:val="24"/>
      <w:u w:val="none"/>
      <w:effect w:val="none"/>
      <w:vertAlign w:val="baseline"/>
      <w:cs w:val="0"/>
      <w:em w:val="none"/>
      <w:lang/>
    </w:rPr>
  </w:style>
  <w:style w:type="character" w:styleId="WW8Num16z0">
    <w:name w:val="WW8Num16z0"/>
    <w:next w:val="WW8Num16z0"/>
    <w:autoRedefine w:val="0"/>
    <w:hidden w:val="0"/>
    <w:qFormat w:val="0"/>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lang/>
    </w:rPr>
  </w:style>
  <w:style w:type="character" w:styleId="WW8Num16z1">
    <w:name w:val="WW8Num16z1"/>
    <w:next w:val="WW8Num16z1"/>
    <w:autoRedefine w:val="0"/>
    <w:hidden w:val="0"/>
    <w:qFormat w:val="0"/>
    <w:rPr>
      <w:rFonts w:ascii="Noto Sans Symbols" w:cs="Noto Sans Symbols" w:eastAsia="Noto Sans Symbols" w:hAnsi="Noto Sans Symbols"/>
      <w:w w:val="100"/>
      <w:position w:val="0"/>
      <w:sz w:val="24"/>
      <w:szCs w:val="24"/>
      <w:effect w:val="none"/>
      <w:vertAlign w:val="baseline"/>
      <w:cs w:val="0"/>
      <w:em w:val="none"/>
      <w:lang/>
    </w:rPr>
  </w:style>
  <w:style w:type="character" w:styleId="WW8Num17z0">
    <w:name w:val="WW8Num17z0"/>
    <w:next w:val="WW8Num17z0"/>
    <w:autoRedefine w:val="0"/>
    <w:hidden w:val="0"/>
    <w:qFormat w:val="0"/>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lang/>
    </w:rPr>
  </w:style>
  <w:style w:type="character" w:styleId="WW8Num17z1">
    <w:name w:val="WW8Num17z1"/>
    <w:next w:val="WW8Num17z1"/>
    <w:autoRedefine w:val="0"/>
    <w:hidden w:val="0"/>
    <w:qFormat w:val="0"/>
    <w:rPr>
      <w:rFonts w:ascii="Noto Sans Symbols" w:cs="Noto Sans Symbols" w:eastAsia="Noto Sans Symbols" w:hAnsi="Noto Sans Symbols"/>
      <w:w w:val="100"/>
      <w:position w:val="0"/>
      <w:sz w:val="20"/>
      <w:szCs w:val="20"/>
      <w:effect w:val="none"/>
      <w:vertAlign w:val="baseline"/>
      <w:cs w:val="0"/>
      <w:em w:val="none"/>
      <w:lang/>
    </w:rPr>
  </w:style>
  <w:style w:type="character" w:styleId="WW8Num18z0">
    <w:name w:val="WW8Num18z0"/>
    <w:next w:val="WW8Num18z0"/>
    <w:autoRedefine w:val="0"/>
    <w:hidden w:val="0"/>
    <w:qFormat w:val="0"/>
    <w:rPr>
      <w:rFonts w:ascii="Noto Sans Symbols" w:cs="Noto Sans Symbols" w:eastAsia="Noto Sans Symbols" w:hAnsi="Noto Sans Symbols"/>
      <w:color w:val="000000"/>
      <w:w w:val="100"/>
      <w:position w:val="0"/>
      <w:sz w:val="20"/>
      <w:szCs w:val="20"/>
      <w:effect w:val="none"/>
      <w:vertAlign w:val="baseline"/>
      <w:cs w:val="0"/>
      <w:em w:val="none"/>
      <w:lang/>
    </w:rPr>
  </w:style>
  <w:style w:type="character" w:styleId="WW8Num18z1">
    <w:name w:val="WW8Num18z1"/>
    <w:next w:val="WW8Num18z1"/>
    <w:autoRedefine w:val="0"/>
    <w:hidden w:val="0"/>
    <w:qFormat w:val="0"/>
    <w:rPr>
      <w:w w:val="100"/>
      <w:position w:val="0"/>
      <w:sz w:val="20"/>
      <w:szCs w:val="20"/>
      <w:effect w:val="none"/>
      <w:vertAlign w:val="baseline"/>
      <w:cs w:val="0"/>
      <w:em w:val="none"/>
      <w:lang/>
    </w:rPr>
  </w:style>
  <w:style w:type="character" w:styleId="WW8Num19z0">
    <w:name w:val="WW8Num19z0"/>
    <w:next w:val="WW8Num19z0"/>
    <w:autoRedefine w:val="0"/>
    <w:hidden w:val="0"/>
    <w:qFormat w:val="0"/>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lang/>
    </w:rPr>
  </w:style>
  <w:style w:type="character" w:styleId="WW8Num19z1">
    <w:name w:val="WW8Num19z1"/>
    <w:next w:val="WW8Num19z1"/>
    <w:autoRedefine w:val="0"/>
    <w:hidden w:val="0"/>
    <w:qFormat w:val="0"/>
    <w:rPr>
      <w:rFonts w:ascii="Noto Sans Symbols" w:cs="Noto Sans Symbols" w:eastAsia="Noto Sans Symbols" w:hAnsi="Noto Sans Symbols"/>
      <w:w w:val="100"/>
      <w:position w:val="0"/>
      <w:sz w:val="24"/>
      <w:effect w:val="none"/>
      <w:vertAlign w:val="baseline"/>
      <w:cs w:val="0"/>
      <w:em w:val="none"/>
      <w:lang/>
    </w:rPr>
  </w:style>
  <w:style w:type="character" w:styleId="WW8Num20z0">
    <w:name w:val="WW8Num20z0"/>
    <w:next w:val="WW8Num20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20z1">
    <w:name w:val="WW8Num20z1"/>
    <w:next w:val="WW8Num20z1"/>
    <w:autoRedefine w:val="0"/>
    <w:hidden w:val="0"/>
    <w:qFormat w:val="0"/>
    <w:rPr>
      <w:rFonts w:ascii="Noto Sans Symbols" w:cs="Noto Sans Symbols" w:eastAsia="Noto Sans Symbols" w:hAnsi="Noto Sans Symbols"/>
      <w:w w:val="100"/>
      <w:position w:val="0"/>
      <w:sz w:val="24"/>
      <w:szCs w:val="24"/>
      <w:effect w:val="none"/>
      <w:vertAlign w:val="baseline"/>
      <w:cs w:val="0"/>
      <w:em w:val="none"/>
      <w:lang/>
    </w:rPr>
  </w:style>
  <w:style w:type="character" w:styleId="WW8Num21z0">
    <w:name w:val="WW8Num21z0"/>
    <w:next w:val="WW8Num21z0"/>
    <w:autoRedefine w:val="0"/>
    <w:hidden w:val="0"/>
    <w:qFormat w:val="0"/>
    <w:rPr>
      <w:rFonts w:ascii="Noto Sans Symbols" w:cs="Noto Sans Symbols" w:eastAsia="Noto Sans Symbols" w:hAnsi="Noto Sans Symbols"/>
      <w:color w:val="000000"/>
      <w:w w:val="100"/>
      <w:position w:val="0"/>
      <w:sz w:val="24"/>
      <w:szCs w:val="24"/>
      <w:effect w:val="none"/>
      <w:vertAlign w:val="baseline"/>
      <w:cs w:val="0"/>
      <w:em w:val="none"/>
      <w:lang/>
    </w:rPr>
  </w:style>
  <w:style w:type="character" w:styleId="WW8Num21z1">
    <w:name w:val="WW8Num21z1"/>
    <w:next w:val="WW8Num21z1"/>
    <w:autoRedefine w:val="0"/>
    <w:hidden w:val="0"/>
    <w:qFormat w:val="0"/>
    <w:rPr>
      <w:rFonts w:ascii="Noto Sans Symbols" w:cs="Noto Sans Symbols" w:eastAsia="Noto Sans Symbols" w:hAnsi="Noto Sans Symbols"/>
      <w:w w:val="100"/>
      <w:position w:val="0"/>
      <w:sz w:val="24"/>
      <w:szCs w:val="24"/>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80"/>
      <w:w w:val="100"/>
      <w:position w:val="-1"/>
      <w:u w:val="single"/>
      <w:effect w:val="none"/>
      <w:vertAlign w:val="baseline"/>
      <w:cs w:val="0"/>
      <w:em w:val="none"/>
      <w:lang w:bidi="und" w:eastAsia="und" w:val="und"/>
    </w:rPr>
  </w:style>
  <w:style w:type="paragraph" w:styleId="Intestazione">
    <w:name w:val="Intestazione"/>
    <w:basedOn w:val="Predefinito"/>
    <w:next w:val="Corpotesto"/>
    <w:autoRedefine w:val="0"/>
    <w:hidden w:val="0"/>
    <w:qFormat w:val="0"/>
    <w:pPr>
      <w:keepNext w:val="1"/>
      <w:widowControl w:val="0"/>
      <w:suppressAutoHyphens w:val="0"/>
      <w:bidi w:val="0"/>
      <w:spacing w:after="120" w:before="240" w:line="1" w:lineRule="atLeast"/>
      <w:ind w:left="0" w:right="0" w:leftChars="-1" w:rightChars="0" w:hanging="1"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zh-CN" w:val="it-IT"/>
    </w:rPr>
  </w:style>
  <w:style w:type="paragraph" w:styleId="Corpotesto">
    <w:name w:val="Corpo testo"/>
    <w:basedOn w:val="Predefinito"/>
    <w:next w:val="Corpotesto"/>
    <w:autoRedefine w:val="0"/>
    <w:hidden w:val="0"/>
    <w:qFormat w:val="0"/>
    <w:pPr>
      <w:widowControl w:val="0"/>
      <w:suppressAutoHyphens w:val="0"/>
      <w:bidi w:val="0"/>
      <w:spacing w:after="120" w:before="0" w:line="1" w:lineRule="atLeast"/>
      <w:ind w:left="0" w:right="0" w:leftChars="-1" w:rightChars="0" w:hanging="1"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Elenco">
    <w:name w:val="Elenco"/>
    <w:basedOn w:val="Corpotesto"/>
    <w:next w:val="Elenco"/>
    <w:autoRedefine w:val="0"/>
    <w:hidden w:val="0"/>
    <w:qFormat w:val="0"/>
    <w:pPr>
      <w:widowControl w:val="0"/>
      <w:suppressAutoHyphens w:val="0"/>
      <w:bidi w:val="0"/>
      <w:spacing w:after="120" w:before="0" w:line="1" w:lineRule="atLeast"/>
      <w:ind w:left="0" w:right="0" w:leftChars="-1" w:rightChars="0" w:hanging="1" w:firstLineChars="-1"/>
      <w:textDirection w:val="btLr"/>
      <w:textAlignment w:val="top"/>
      <w:outlineLvl w:val="0"/>
    </w:pPr>
    <w:rPr>
      <w:rFonts w:ascii="Times New Roman" w:cs="Lucida Sans" w:eastAsia="Times New Roman" w:hAnsi="Times New Roman"/>
      <w:w w:val="100"/>
      <w:position w:val="-1"/>
      <w:sz w:val="20"/>
      <w:szCs w:val="20"/>
      <w:effect w:val="none"/>
      <w:vertAlign w:val="baseline"/>
      <w:cs w:val="0"/>
      <w:em w:val="none"/>
      <w:lang w:bidi="ar-SA" w:eastAsia="zh-CN" w:val="it-IT"/>
    </w:rPr>
  </w:style>
  <w:style w:type="paragraph" w:styleId="Didascalia">
    <w:name w:val="Didascalia"/>
    <w:basedOn w:val="Predefinito"/>
    <w:next w:val="Didascalia"/>
    <w:autoRedefine w:val="0"/>
    <w:hidden w:val="0"/>
    <w:qFormat w:val="0"/>
    <w:pPr>
      <w:widowControl w:val="0"/>
      <w:suppressLineNumbers w:val="1"/>
      <w:suppressAutoHyphens w:val="0"/>
      <w:bidi w:val="0"/>
      <w:spacing w:after="120" w:before="120" w:line="1" w:lineRule="atLeast"/>
      <w:ind w:left="0" w:right="0" w:leftChars="-1" w:rightChars="0" w:hanging="1"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it-IT"/>
    </w:rPr>
  </w:style>
  <w:style w:type="paragraph" w:styleId="Indice">
    <w:name w:val="Indice"/>
    <w:basedOn w:val="Predefinito"/>
    <w:next w:val="Indice"/>
    <w:autoRedefine w:val="0"/>
    <w:hidden w:val="0"/>
    <w:qFormat w:val="0"/>
    <w:pPr>
      <w:widowControl w:val="0"/>
      <w:suppressLineNumbers w:val="1"/>
      <w:suppressAutoHyphens w:val="0"/>
      <w:bidi w:val="0"/>
      <w:spacing w:line="1" w:lineRule="atLeast"/>
      <w:ind w:left="0" w:right="0" w:leftChars="-1" w:rightChars="0" w:hanging="1" w:firstLineChars="-1"/>
      <w:textDirection w:val="btLr"/>
      <w:textAlignment w:val="top"/>
      <w:outlineLvl w:val="0"/>
    </w:pPr>
    <w:rPr>
      <w:rFonts w:ascii="Times New Roman" w:cs="Lucida Sans" w:eastAsia="Times New Roman" w:hAnsi="Times New Roman"/>
      <w:w w:val="100"/>
      <w:position w:val="-1"/>
      <w:sz w:val="20"/>
      <w:szCs w:val="20"/>
      <w:effect w:val="none"/>
      <w:vertAlign w:val="baseline"/>
      <w:cs w:val="0"/>
      <w:em w:val="none"/>
      <w:lang w:bidi="ar-SA" w:eastAsia="zh-CN" w:val="it-IT"/>
    </w:rPr>
  </w:style>
  <w:style w:type="paragraph" w:styleId="Titolo">
    <w:name w:val="Titolo"/>
    <w:basedOn w:val="Predefinito"/>
    <w:next w:val="Predefinito"/>
    <w:autoRedefine w:val="0"/>
    <w:hidden w:val="0"/>
    <w:qFormat w:val="0"/>
    <w:pPr>
      <w:keepNext w:val="1"/>
      <w:keepLines w:val="1"/>
      <w:pageBreakBefore w:val="0"/>
      <w:widowControl w:val="0"/>
      <w:shd w:color="auto" w:fill="ffffff" w:val="clear"/>
      <w:suppressAutoHyphens w:val="0"/>
      <w:bidi w:val="0"/>
      <w:spacing w:after="120" w:before="480" w:line="240" w:lineRule="auto"/>
      <w:ind w:left="0" w:right="0" w:leftChars="-1" w:rightChars="0" w:firstLine="0" w:firstLineChars="-1"/>
      <w:jc w:val="left"/>
      <w:textDirection w:val="btLr"/>
      <w:textAlignment w:val="top"/>
      <w:outlineLvl w:val="0"/>
    </w:pPr>
    <w:rPr>
      <w:rFonts w:ascii="Times New Roman" w:cs="Times New Roman" w:eastAsia="Times New Roman" w:hAnsi="Times New Roman"/>
      <w:b w:val="1"/>
      <w:i w:val="0"/>
      <w:caps w:val="0"/>
      <w:smallCaps w:val="0"/>
      <w:strike w:val="0"/>
      <w:dstrike w:val="0"/>
      <w:color w:val="000000"/>
      <w:w w:val="100"/>
      <w:position w:val="0"/>
      <w:sz w:val="72"/>
      <w:szCs w:val="72"/>
      <w:u w:val="none"/>
      <w:effect w:val="none"/>
      <w:shd w:color="auto" w:fill="auto" w:val="clear"/>
      <w:vertAlign w:val="baseline"/>
      <w:cs w:val="0"/>
      <w:em w:val="none"/>
      <w:lang w:bidi="ar-SA" w:eastAsia="zh-CN" w:val="it-IT"/>
    </w:rPr>
  </w:style>
  <w:style w:type="paragraph" w:styleId="Sottotitolo">
    <w:name w:val="Sottotitolo"/>
    <w:basedOn w:val="Predefinito"/>
    <w:next w:val="Predefinito"/>
    <w:autoRedefine w:val="0"/>
    <w:hidden w:val="0"/>
    <w:qFormat w:val="0"/>
    <w:pPr>
      <w:keepNext w:val="1"/>
      <w:keepLines w:val="1"/>
      <w:pageBreakBefore w:val="0"/>
      <w:widowControl w:val="1"/>
      <w:shd w:color="auto" w:fill="auto" w:val="clear"/>
      <w:suppressAutoHyphens w:val="0"/>
      <w:bidi w:val="0"/>
      <w:spacing w:after="80" w:before="360" w:line="240" w:lineRule="auto"/>
      <w:ind w:left="0" w:right="0" w:leftChars="-1" w:rightChars="0" w:firstLine="0" w:firstLineChars="-1"/>
      <w:jc w:val="left"/>
      <w:textDirection w:val="btLr"/>
      <w:textAlignment w:val="top"/>
      <w:outlineLvl w:val="0"/>
    </w:pPr>
    <w:rPr>
      <w:rFonts w:ascii="Georgia" w:cs="Georgia" w:eastAsia="Georgia" w:hAnsi="Georgia"/>
      <w:b w:val="0"/>
      <w:i w:val="1"/>
      <w:caps w:val="0"/>
      <w:smallCaps w:val="0"/>
      <w:strike w:val="0"/>
      <w:dstrike w:val="0"/>
      <w:color w:val="666666"/>
      <w:w w:val="100"/>
      <w:position w:val="0"/>
      <w:sz w:val="48"/>
      <w:szCs w:val="48"/>
      <w:u w:val="none"/>
      <w:effect w:val="none"/>
      <w:shd w:color="auto" w:fill="auto" w:val="clear"/>
      <w:vertAlign w:val="baseline"/>
      <w:cs w:val="0"/>
      <w:em w:val="none"/>
      <w:lang w:bidi="ar-SA" w:eastAsia="zh-CN" w:val="it-IT"/>
    </w:rPr>
  </w:style>
  <w:style w:type="paragraph" w:styleId="Rigad'intestazione">
    <w:name w:val="Riga d'intestazione"/>
    <w:basedOn w:val="Predefinito"/>
    <w:next w:val="Rigad'intestazione"/>
    <w:autoRedefine w:val="0"/>
    <w:hidden w:val="0"/>
    <w:qFormat w:val="0"/>
    <w:pPr>
      <w:widowControl w:val="0"/>
      <w:tabs>
        <w:tab w:val="center" w:leader="none" w:pos="4819"/>
        <w:tab w:val="right" w:leader="none" w:pos="9638"/>
      </w:tabs>
      <w:suppressAutoHyphens w:val="0"/>
      <w:bidi w:val="0"/>
      <w:spacing w:line="1" w:lineRule="atLeast"/>
      <w:ind w:left="0" w:right="0" w:leftChars="-1" w:rightChars="0" w:hanging="1"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Pièdipagina">
    <w:name w:val="Piè di pagina"/>
    <w:basedOn w:val="Predefinito"/>
    <w:next w:val="Pièdipagina"/>
    <w:autoRedefine w:val="0"/>
    <w:hidden w:val="0"/>
    <w:qFormat w:val="0"/>
    <w:pPr>
      <w:widowControl w:val="0"/>
      <w:tabs>
        <w:tab w:val="center" w:leader="none" w:pos="4819"/>
        <w:tab w:val="right" w:leader="none" w:pos="9638"/>
      </w:tabs>
      <w:suppressAutoHyphens w:val="0"/>
      <w:bidi w:val="0"/>
      <w:spacing w:line="1" w:lineRule="atLeast"/>
      <w:ind w:left="0" w:right="0" w:leftChars="-1" w:rightChars="0" w:hanging="1"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Contenutotabella">
    <w:name w:val="Contenuto tabella"/>
    <w:basedOn w:val="Predefinito"/>
    <w:next w:val="Contenutotabella"/>
    <w:autoRedefine w:val="0"/>
    <w:hidden w:val="0"/>
    <w:qFormat w:val="0"/>
    <w:pPr>
      <w:widowControl w:val="0"/>
      <w:suppressLineNumbers w:val="1"/>
      <w:suppressAutoHyphens w:val="0"/>
      <w:bidi w:val="0"/>
      <w:spacing w:line="1" w:lineRule="atLeast"/>
      <w:ind w:left="0" w:right="0" w:leftChars="-1" w:rightChars="0" w:hanging="1"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Intestazionetabella">
    <w:name w:val="Intestazione tabella"/>
    <w:basedOn w:val="Contenutotabella"/>
    <w:next w:val="Intestazionetabella"/>
    <w:autoRedefine w:val="0"/>
    <w:hidden w:val="0"/>
    <w:qFormat w:val="0"/>
    <w:pPr>
      <w:widowControl w:val="0"/>
      <w:suppressLineNumbers w:val="1"/>
      <w:suppressAutoHyphens w:val="0"/>
      <w:bidi w:val="0"/>
      <w:spacing w:line="1" w:lineRule="atLeast"/>
      <w:ind w:left="0" w:right="0" w:leftChars="-1" w:rightChars="0" w:hanging="1" w:firstLineChars="-1"/>
      <w:jc w:val="center"/>
      <w:textDirection w:val="btLr"/>
      <w:textAlignment w:val="top"/>
      <w:outlineLvl w:val="0"/>
    </w:pPr>
    <w:rPr>
      <w:rFonts w:ascii="Times New Roman" w:cs="Times New Roman" w:eastAsia="Times New Roman" w:hAnsi="Times New Roman"/>
      <w:b w:val="1"/>
      <w:bCs w:val="1"/>
      <w:w w:val="100"/>
      <w:position w:val="-1"/>
      <w:sz w:val="20"/>
      <w:szCs w:val="20"/>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4.xml"/><Relationship Id="rId10" Type="http://schemas.openxmlformats.org/officeDocument/2006/relationships/hyperlink" Target="http://www.up.aci.it/firenze/IMG/pdf/Dichiarazione_sostitutiva_per_autocarri-6.pdf"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3.xml"/><Relationship Id="rId14" Type="http://schemas.openxmlformats.org/officeDocument/2006/relationships/footer" Target="footer5.xml"/><Relationship Id="rId16"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I6GHMvUcB6Vbq3BBakwy1XLKQ==">CgMxLjAyCGguZ2pkZ3hzMgloLjMwajB6bGw4AHIhMW5SajFFWjVNN1BCd1VfVnpFbTNidGFwekhORjR1R3JQ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2024-09-05T08:09:00Z</dcterms:created>
  <dc:creator>Fazzi Milena</dc:creator>
</cp:coreProperties>
</file>