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Comic Sans MS" w:cs="Comic Sans MS" w:eastAsia="Comic Sans MS" w:hAnsi="Comic Sans MS"/>
                <w:b w:val="1"/>
                <w:i w:val="0"/>
                <w:smallCaps w:val="0"/>
                <w:strike w:val="0"/>
                <w:color w:val="000000"/>
                <w:sz w:val="56"/>
                <w:szCs w:val="5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AGEVOLAZIONI</w:t>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4" w:right="0" w:hanging="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AGGIORNAMENTO n.25</w:t>
            </w:r>
            <w:r w:rsidDel="00000000" w:rsidR="00000000" w:rsidRPr="00000000">
              <w:rPr>
                <w:rFonts w:ascii="Comic Sans MS" w:cs="Comic Sans MS" w:eastAsia="Comic Sans MS" w:hAnsi="Comic Sans MS"/>
                <w:b w:val="1"/>
                <w:sz w:val="56"/>
                <w:szCs w:val="56"/>
                <w:rtl w:val="0"/>
              </w:rPr>
              <w:t xml:space="preserve">5</w:t>
            </w:r>
            <w:r w:rsidDel="00000000" w:rsidR="00000000" w:rsidRPr="00000000">
              <w:rPr>
                <w:rtl w:val="0"/>
              </w:rPr>
            </w:r>
          </w:p>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0" w:hanging="2"/>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A cura della Direzione Gestione e sviluppo del PRA</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fiscalità automobilistica e servizi agli Enti territoriali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w:t>
      </w:r>
      <w:r w:rsidDel="00000000" w:rsidR="00000000" w:rsidRPr="00000000">
        <w:rPr>
          <w:b w:val="1"/>
          <w:i w:val="1"/>
          <w:sz w:val="24"/>
          <w:szCs w:val="24"/>
          <w:highlight w:val="white"/>
          <w:rtl w:val="0"/>
        </w:rPr>
        <w:t xml:space="preserve">Novem</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bre 2024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FORMALITA’ A FAVORE DEI PORTATORI DI HANDICAP</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 al PRA di altro veicolo per il quale ha beneficiato dell’esenzione IPT, possa godere del beneficio dell’esenzione IPT allegando, a dimostrazione dell’avvenuta cessione della proprietà del precedente veicolo, copia dell’atto di vendita, </w:t>
      </w:r>
      <w:r w:rsidDel="00000000" w:rsidR="00000000" w:rsidRPr="00000000">
        <w:rPr>
          <w:rFonts w:ascii="Comic Sans MS" w:cs="Comic Sans MS" w:eastAsia="Comic Sans MS" w:hAnsi="Comic Sans MS"/>
          <w:color w:val="ff0000"/>
          <w:sz w:val="24"/>
          <w:szCs w:val="24"/>
          <w:rtl w:val="0"/>
        </w:rPr>
        <w:t xml:space="preserve">ancorché non trascritto al PRA, avente data </w:t>
      </w:r>
      <w:r w:rsidDel="00000000" w:rsidR="00000000" w:rsidRPr="00000000">
        <w:rPr>
          <w:rFonts w:ascii="Comic Sans MS" w:cs="Comic Sans MS" w:eastAsia="Comic Sans MS" w:hAnsi="Comic Sans MS"/>
          <w:color w:val="ff0000"/>
          <w:sz w:val="24"/>
          <w:szCs w:val="24"/>
          <w:u w:val="single"/>
          <w:rtl w:val="0"/>
        </w:rPr>
        <w:t xml:space="preserve">uguale o anteriore</w:t>
      </w:r>
      <w:r w:rsidDel="00000000" w:rsidR="00000000" w:rsidRPr="00000000">
        <w:rPr>
          <w:rFonts w:ascii="Comic Sans MS" w:cs="Comic Sans MS" w:eastAsia="Comic Sans MS" w:hAnsi="Comic Sans MS"/>
          <w:color w:val="ff0000"/>
          <w:sz w:val="24"/>
          <w:szCs w:val="24"/>
          <w:rtl w:val="0"/>
        </w:rPr>
        <w:t xml:space="preserve"> alla data di presentazione della pratica di iscrizione/trascrizione del secondo veicolo.</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hanno comunque deciso di introdurre dei tempi di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tolleranza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tali casistiche possono essere gestite </w:t>
      </w:r>
      <w:r w:rsidDel="00000000" w:rsidR="00000000" w:rsidRPr="00000000">
        <w:rPr>
          <w:rFonts w:ascii="Comic Sans MS" w:cs="Comic Sans MS" w:eastAsia="Comic Sans MS" w:hAnsi="Comic Sans MS"/>
          <w:sz w:val="24"/>
          <w:szCs w:val="24"/>
          <w:u w:val="single"/>
          <w:rtl w:val="0"/>
        </w:rPr>
        <w:t xml:space="preserve">unicamente</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con istanza di rimborso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color w:val="ff0000"/>
          <w:sz w:val="24"/>
          <w:szCs w:val="24"/>
          <w:u w:val="single"/>
          <w:rtl w:val="0"/>
        </w:rPr>
        <w:t xml:space="preserve">Solo con riguardo alle Province che ammettono un termine di tolleranza:</w:t>
      </w:r>
      <w:r w:rsidDel="00000000" w:rsidR="00000000" w:rsidRPr="00000000">
        <w:rPr>
          <w:rFonts w:ascii="Comic Sans MS" w:cs="Comic Sans MS" w:eastAsia="Comic Sans MS" w:hAnsi="Comic Sans MS"/>
          <w:color w:val="ff0000"/>
          <w:sz w:val="24"/>
          <w:szCs w:val="24"/>
          <w:rtl w:val="0"/>
        </w:rPr>
        <w:t xml:space="preserve"> nel caso in cui al fascicolo venga allegato, in fase di richiesta integrazione, un atto di vendita o un Certificato di Rottamazione di data successiva a quella di presentazione della pratica di iscrizione/trascrizione del secondo veicolo, ma ricompresa nel termine di tolleranza ammesso, la pratica potrà essere convalidata senza necessità che lo STA integri gli importi per poi chiedere il rimborso.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che riporta, per le Province che prevedono detto periodo di tolleranza, il numero di giorni ammesso fra la data di iscrizione/trascrizione del secondo veicolo e la data di autentica dell’atto di vendita o del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Certificato di Rottamazione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del primo. La dicitura “ufficio” indica invece la necessità di contattare l’ufficio PRA di competenza,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dare esito all’istanza di rimborso.</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1.1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una riduzione al 10% dell’IPT per le formalità  a favore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tutti i disabili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non inclusi nella normativa nazionale,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compresi, pertanto anche i c.d. disabili sensoriali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b w:val="0"/>
          <w:i w:val="0"/>
          <w:smallCaps w:val="0"/>
          <w:strike w:val="0"/>
          <w:color w:val="ff0000"/>
          <w:sz w:val="17"/>
          <w:szCs w:val="17"/>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con decorrenza 01.01.2014, il pagamento dell’IPT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ridotta al 50%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sugli atti di natura traslativa o dichiarativa aventi ad oggetto veicoli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 adattati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intestati a soggetti affetti da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handicap grave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capacità di deambulazione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sensibilmente ridotta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come riconosciuto dalla Commissione medica competente, oppure intestati ai familiari cui tali soggetti risultino fiscalmente a carico. Per il corretto calcolo degli importi selezionare il flag “Z” nel campo disabile.</w:t>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19" w:before="28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Isernia, Sassari, 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01/01/2022) e Messina (dal 01.01.2024)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Valle d’Aosta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titolare di patente speciale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sia altresì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intestatario del veicolo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prescritti dalle commissioni mediche locali.</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1" w:right="282"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1.2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Como, Roma, Pistoia,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Cosenza, Latina,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Benevento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53">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1" w:right="284" w:hanging="3"/>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Como, 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Salerno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 Reggio Calabria e Cuneo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8">
      <w:pPr>
        <w:keepNext w:val="0"/>
        <w:keepLines w:val="0"/>
        <w:pageBreakBefore w:val="0"/>
        <w:widowControl w:val="1"/>
        <w:numPr>
          <w:ilvl w:val="1"/>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 veicolo rubato;</w:t>
      </w:r>
    </w:p>
    <w:p w:rsidR="00000000" w:rsidDel="00000000" w:rsidP="00000000" w:rsidRDefault="00000000" w:rsidRPr="00000000" w14:paraId="00000059">
      <w:pPr>
        <w:keepNext w:val="0"/>
        <w:keepLines w:val="0"/>
        <w:pageBreakBefore w:val="0"/>
        <w:widowControl w:val="1"/>
        <w:numPr>
          <w:ilvl w:val="1"/>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A">
      <w:pPr>
        <w:keepNext w:val="0"/>
        <w:keepLines w:val="0"/>
        <w:pageBreakBefore w:val="0"/>
        <w:widowControl w:val="1"/>
        <w:numPr>
          <w:ilvl w:val="1"/>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Cremona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Barletta-Andria-Trani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furto o appropriazione indebita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Lecco, 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Lodi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che, in presenza di veicolo intestato in capo a soggetto disabile o cui il soggetto disabile risulti fiscalmente a carico, l’esenzione IRT potrà essere riconosciuta per l’acquisto di un ulteriore veicolo se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alla data della presentazione della formalità risulti la perdita di possesso del primo veicolo a seguito di furto o appropriazione indebita denunciati alle autorità competenti o a causa di calamità naturali.</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70">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 veicolo rubato.</w:t>
      </w:r>
    </w:p>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1.3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IN FAVORE DI DISABILI “SENSORIALI”</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Emilia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7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Altre Province, invece, hanno previsto agevolazioni a favore dei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secondo il dettaglio riportato nella seguente tabella nella quale è indicato anche il carattere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8">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PROVINCE</w:t>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9">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07A">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4"/>
                <w:szCs w:val="14"/>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B">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Asti, Bergamo, Brescia, </w:t>
            </w:r>
            <w:r w:rsidDel="00000000" w:rsidR="00000000" w:rsidRPr="00000000">
              <w:rPr>
                <w:rFonts w:ascii="Arial" w:cs="Arial" w:eastAsia="Arial" w:hAnsi="Arial"/>
                <w:b w:val="1"/>
                <w:i w:val="0"/>
                <w:smallCaps w:val="0"/>
                <w:strike w:val="0"/>
                <w:u w:val="none"/>
                <w:shd w:fill="auto" w:val="clear"/>
                <w:vertAlign w:val="baseline"/>
                <w:rtl w:val="0"/>
              </w:rPr>
              <w:t xml:space="preserve">Campobasso *</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b w:val="1"/>
                <w:i w:val="0"/>
                <w:smallCaps w:val="0"/>
                <w:strike w:val="0"/>
                <w:u w:val="none"/>
                <w:shd w:fill="auto" w:val="clear"/>
                <w:vertAlign w:val="baseline"/>
                <w:rtl w:val="0"/>
              </w:rPr>
              <w:t xml:space="preserve">Como</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Chieti, Cremona, Lecco, Lodi, Massa Carrara, Milano, Monza Brianza,Novara, Nuoro, Padova, Pavia, Piacenza, Rieti, Rimini, Salerno,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Siena,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C">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E">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F">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1">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Bari, Belluno, La Spezia, Parma, Perugia, Terni, Teramo,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2">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4">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Friuli Venezia Giulia,</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Genova, Grosseto, Imperia, Messina,</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Pisa, Potenza, Reggio Calabria</w:t>
            </w:r>
            <w:r w:rsidDel="00000000" w:rsidR="00000000" w:rsidRPr="00000000">
              <w:rPr>
                <w:rFonts w:ascii="Arial" w:cs="Arial" w:eastAsia="Arial" w:hAnsi="Arial"/>
                <w:b w:val="1"/>
                <w:i w:val="0"/>
                <w:smallCaps w:val="0"/>
                <w:strike w:val="0"/>
                <w:color w:val="ff3333"/>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ff333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Rovigo, Sondrio,</w:t>
            </w:r>
            <w:r w:rsidDel="00000000" w:rsidR="00000000" w:rsidRPr="00000000">
              <w:rPr>
                <w:rtl w:val="0"/>
              </w:rPr>
            </w:r>
          </w:p>
          <w:p w:rsidR="00000000" w:rsidDel="00000000" w:rsidP="00000000" w:rsidRDefault="00000000" w:rsidRPr="00000000" w14:paraId="00000085">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6">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8">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Forlì Cesena,Pescara, Treviso,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9">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B">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Ancona, Aosta, Catania,</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E">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Arezzo, B</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enevento, Bolzano,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keepNext w:val="0"/>
              <w:keepLines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Q</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(per le Province contrassegnate con * le procedure per il calcolo degli importi </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non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sono ancora state rilasciate)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2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 eccezione a tale principio l’agevolazione stabilita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tale agevolazione prevista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Asti, Belluno, Bolzano, Cagliari, 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Cuneo, Fermo, Foggia, Forlì-Cesena, Frosinone, Genova,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Perugia, Pesaro Urbino, Pescara, Pisa, Pistoia, Potenza, 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e 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A2">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Massa Carrara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A3">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Mantova, Piacenza e 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A4">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quest’ultimo punto si differenzia dalle altre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A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66.9291338582675" w:right="284" w:hanging="566.92913385826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Pistoia e Verona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01/01/2008),</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Aosta e Parma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01/01/2009)</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30/03/2009),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al PRA a far data dal 01.06.2012)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Ravenna, Reggio Calabria (a far data dal 03/06/2023)</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per le formalità presentate dal 01.01.2014),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dal 01.01.2015),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dal 01.01.2016),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(01.01.2017)</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16.10.2017),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Pescara e Rieti (quest’ultima dal 01.01.2023)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Milano, Pavia, Perugia, Varese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7/12/2009),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Monza Brianza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01/01/2011),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01.01.2013)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01/01/2022)</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20</w:t>
      </w:r>
      <w:r w:rsidDel="00000000" w:rsidR="00000000" w:rsidRPr="00000000">
        <w:rPr>
          <w:rFonts w:ascii="Comic Sans MS" w:cs="Comic Sans MS" w:eastAsia="Comic Sans MS" w:hAnsi="Comic Sans MS"/>
          <w:sz w:val="24"/>
          <w:szCs w:val="24"/>
          <w:rtl w:val="0"/>
        </w:rPr>
        <w:t xml:space="preserve">/02/</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2022)</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Campobasso</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(dal 02/10/2024)</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hanno deliberato</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di acquisto di veicoli tra privati mortis</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causa</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Le procedure applicative per il calcolo importi effettueranno – in modalità automatica - la corretta imputazione dell’Ipt dovuta a fronte dell’impostazione del campo “data apertura successione”</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le pratiche di competenza della Provincia di Campobasso le procedure non sono ancora state adeguate).</w:t>
      </w:r>
    </w:p>
    <w:p w:rsidR="00000000" w:rsidDel="00000000" w:rsidP="00000000" w:rsidRDefault="00000000" w:rsidRPr="00000000" w14:paraId="000000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con percentuale di maggiorazione al 30%.</w:t>
      </w:r>
    </w:p>
    <w:p w:rsidR="00000000" w:rsidDel="00000000" w:rsidP="00000000" w:rsidRDefault="00000000" w:rsidRPr="00000000" w14:paraId="000000B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2009 , 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Pesaro-Urbino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in misura fissa nei seguenti casi:</w:t>
      </w:r>
    </w:p>
    <w:p w:rsidR="00000000" w:rsidDel="00000000" w:rsidP="00000000" w:rsidRDefault="00000000" w:rsidRPr="00000000" w14:paraId="000000B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BF">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presentate dal 01/01/2009:</w:t>
      </w:r>
    </w:p>
    <w:p w:rsidR="00000000" w:rsidDel="00000000" w:rsidP="00000000" w:rsidRDefault="00000000" w:rsidRPr="00000000" w14:paraId="000000C2">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C3">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C4">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C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invece,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fissa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comprensiva della maggiorazione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tutti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casi di trasferimento d’azienda da genitore a figli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mortis causa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condizione che uno degli eredi prosegua l’esercizio dell’attività d’impresa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valorizzare il campo “data apertura successione” e selezionare il flag “P” presente nel campo “Agevolazione disabile”.</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2017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 gennaio 2019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dal 28 ottobre 2021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Cosenza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nel caso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contestuale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 uno degli eredi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l’IPT venga applicata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C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29 dicembre 2011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data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marzo 2012,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Applicazione dell’IPT fissa per ogni veicolo  per l’accettazione di eredità da parte dell’unico erede, per il corretto calcolo degli importi valorizzare il campo “data apertura successione”;</w:t>
      </w:r>
    </w:p>
    <w:p w:rsidR="00000000" w:rsidDel="00000000" w:rsidP="00000000" w:rsidRDefault="00000000" w:rsidRPr="00000000" w14:paraId="000000D4">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w:t>
      </w:r>
    </w:p>
    <w:p w:rsidR="00000000" w:rsidDel="00000000" w:rsidP="00000000" w:rsidRDefault="00000000" w:rsidRPr="00000000" w14:paraId="000000D5">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D6">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E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5">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E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0E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E">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EF">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w:t>
            </w:r>
            <w:r w:rsidDel="00000000" w:rsidR="00000000" w:rsidRPr="00000000">
              <w:rPr>
                <w:rtl w:val="0"/>
              </w:rPr>
            </w:r>
          </w:p>
          <w:p w:rsidR="00000000" w:rsidDel="00000000" w:rsidP="00000000" w:rsidRDefault="00000000" w:rsidRPr="00000000" w14:paraId="000000F0">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0F1">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VEICOLI ECO COMPATIBILI</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Potenza, Ravenna 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w:t>
      </w:r>
    </w:p>
    <w:p w:rsidR="00000000" w:rsidDel="00000000" w:rsidP="00000000" w:rsidRDefault="00000000" w:rsidRPr="00000000" w14:paraId="000001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favore abbia diritto a più agevolazioni, si applicherà quella a lui più vantaggiosa.</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5"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Napoli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65" w:hanging="3"/>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5" w:hanging="2"/>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65" w:hanging="3"/>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SOCIETARI</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 gennaio 2008 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Chieti, Cremona, Milano, Pavia, Perugia e Varese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Frosinone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Rieti, Sassari.</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medesima agevolazione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Latina,</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Terni e 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i w:val="0"/>
          <w:smallCaps w:val="0"/>
          <w:strike w:val="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01.01.2017) 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01/01/2023)</w:t>
      </w:r>
      <w:r w:rsidDel="00000000" w:rsidR="00000000" w:rsidRPr="00000000">
        <w:rPr>
          <w:rFonts w:ascii="Comic Sans MS" w:cs="Comic Sans MS" w:eastAsia="Comic Sans MS" w:hAnsi="Comic Sans MS"/>
          <w:sz w:val="24"/>
          <w:szCs w:val="24"/>
          <w:rtl w:val="0"/>
        </w:rPr>
        <w:t xml:space="preserve"> e la Provincia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01/04/2015),</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Sud Sardegna, 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 e Asti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Monza Brianza, Bari, 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Pavia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La Provincia di </w:t>
      </w:r>
      <w:r w:rsidDel="00000000" w:rsidR="00000000" w:rsidRPr="00000000">
        <w:rPr>
          <w:rFonts w:ascii="Comic Sans MS" w:cs="Comic Sans MS" w:eastAsia="Comic Sans MS" w:hAnsi="Comic Sans MS"/>
          <w:b w:val="1"/>
          <w:sz w:val="24"/>
          <w:szCs w:val="24"/>
          <w:rtl w:val="0"/>
        </w:rPr>
        <w:t xml:space="preserve">Campobasso </w:t>
      </w:r>
      <w:r w:rsidDel="00000000" w:rsidR="00000000" w:rsidRPr="00000000">
        <w:rPr>
          <w:rFonts w:ascii="Comic Sans MS" w:cs="Comic Sans MS" w:eastAsia="Comic Sans MS" w:hAnsi="Comic Sans MS"/>
          <w:sz w:val="24"/>
          <w:szCs w:val="24"/>
          <w:rtl w:val="0"/>
        </w:rPr>
        <w:t xml:space="preserve">prevede l’applicazione dell’IPT in misura fissa anche nei casi di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Atto pubblico</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Scrittura privata</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Atto societario.- Sentenza Giudiziaria</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 Atto Amministrativo</w:t>
      </w:r>
    </w:p>
    <w:p w:rsidR="00000000" w:rsidDel="00000000" w:rsidP="00000000" w:rsidRDefault="00000000" w:rsidRPr="00000000" w14:paraId="000001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le pratiche di competenza della Provincia di Campobasso le procedure non sono ancora state adeguate).</w:t>
      </w:r>
    </w:p>
    <w:p w:rsidR="00000000" w:rsidDel="00000000" w:rsidP="00000000" w:rsidRDefault="00000000" w:rsidRPr="00000000" w14:paraId="000001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ESENZIONE A FAVORE DELLE IPAB</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Pescara, Ravenna, Reggio Calabria,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Sassari e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01/01/2010 dalla Provincia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Rovigo, Salerno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dalle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Cagliari e 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15/04/2011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Livorno,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 gennaio 2012, dalla Provincia di Isernia, dal 01.01.2015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01.01.2016 dalla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Messina,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dalla Provincia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01.01.2017),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01.01.2019) 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01/01/2022).</w:t>
      </w:r>
    </w:p>
    <w:p w:rsidR="00000000" w:rsidDel="00000000" w:rsidP="00000000" w:rsidRDefault="00000000" w:rsidRPr="00000000" w14:paraId="000001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ONLUS</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Viterbo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l’IPT in misura fissa per le formalità a favore delle organizzazioni non lucrative di utilità sociale. Per il corretto calcolo degli importi, nelle more del rilascio di uno specifico flag del campo disabile, sarà possibile procedere valorizzando il flag “A” del campo esenzione.</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confermato l’esenzione IPT in favore delle ONLUS nelle more della modifica del proprio Regolamento IPT e, comunque, non oltre il 31/12/2024.</w:t>
      </w:r>
    </w:p>
    <w:p w:rsidR="00000000" w:rsidDel="00000000" w:rsidP="00000000" w:rsidRDefault="00000000" w:rsidRPr="00000000" w14:paraId="000001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TERZO SETTORE</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IPT per le formalità a favore degli enti del Terzo settore di cui al D.L. n.117 del 3 luglio 2017.</w:t>
      </w:r>
    </w:p>
    <w:p w:rsidR="00000000" w:rsidDel="00000000" w:rsidP="00000000" w:rsidRDefault="00000000" w:rsidRPr="00000000" w14:paraId="000001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Biella,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Pad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ova, Pescara, Ravenna, Reggio Calabria,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Rovigo, </w:t>
      </w:r>
      <w:r w:rsidDel="00000000" w:rsidR="00000000" w:rsidRPr="00000000">
        <w:rPr>
          <w:rFonts w:ascii="Comic Sans MS" w:cs="Comic Sans MS" w:eastAsia="Comic Sans MS" w:hAnsi="Comic Sans MS"/>
          <w:b w:val="1"/>
          <w:sz w:val="24"/>
          <w:szCs w:val="24"/>
          <w:rtl w:val="0"/>
        </w:rPr>
        <w:t xml:space="preserve">Siena,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Taranto, Torino,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 e 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organizzazioni di volontariato, società di mutuo soccorso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i </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Brescia, Firenze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Roma </w:t>
      </w:r>
      <w:r w:rsidDel="00000000" w:rsidR="00000000" w:rsidRPr="00000000">
        <w:rPr>
          <w:rFonts w:ascii="Comic Sans MS" w:cs="Comic Sans MS" w:eastAsia="Comic Sans MS" w:hAnsi="Comic Sans MS"/>
          <w:b w:val="1"/>
          <w:color w:val="ff0000"/>
          <w:sz w:val="24"/>
          <w:szCs w:val="24"/>
          <w:rtl w:val="0"/>
        </w:rPr>
        <w:t xml:space="preserve">e Trapani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sono esentate dal pagamento dell’imposta gli atti a favore degli Enti del Terzo settore nella forma delle Organizzazioni di volontariato, ai sensi dell’art.32, di cui al D.Lgs. 3 luglio 2017, n.117, iscritti al Registro Unico Nazionale degli Enti del terzo settore (RUNTS).</w:t>
      </w:r>
    </w:p>
    <w:p w:rsidR="00000000" w:rsidDel="00000000" w:rsidP="00000000" w:rsidRDefault="00000000" w:rsidRPr="00000000" w14:paraId="000001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1"/>
          <w:color w:val="ff3333"/>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w:t>
      </w:r>
      <w:r w:rsidDel="00000000" w:rsidR="00000000" w:rsidRPr="00000000">
        <w:rPr>
          <w:rFonts w:ascii="Comic Sans MS" w:cs="Comic Sans MS" w:eastAsia="Comic Sans MS" w:hAnsi="Comic Sans MS"/>
          <w:sz w:val="24"/>
          <w:szCs w:val="24"/>
          <w:highlight w:val="white"/>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Provinc</w:t>
      </w:r>
      <w:r w:rsidDel="00000000" w:rsidR="00000000" w:rsidRPr="00000000">
        <w:rPr>
          <w:rFonts w:ascii="Comic Sans MS" w:cs="Comic Sans MS" w:eastAsia="Comic Sans MS" w:hAnsi="Comic Sans MS"/>
          <w:sz w:val="24"/>
          <w:szCs w:val="24"/>
          <w:highlight w:val="white"/>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di</w:t>
      </w:r>
      <w:r w:rsidDel="00000000" w:rsidR="00000000" w:rsidRPr="00000000">
        <w:rPr>
          <w:rFonts w:ascii="Comic Sans MS" w:cs="Comic Sans MS" w:eastAsia="Comic Sans MS" w:hAnsi="Comic Sans MS"/>
          <w:b w:val="1"/>
          <w:color w:val="ff0000"/>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Campobasso</w:t>
      </w:r>
      <w:r w:rsidDel="00000000" w:rsidR="00000000" w:rsidRPr="00000000">
        <w:rPr>
          <w:rFonts w:ascii="Comic Sans MS" w:cs="Comic Sans MS" w:eastAsia="Comic Sans MS" w:hAnsi="Comic Sans MS"/>
          <w:b w:val="1"/>
          <w:color w:val="ff0000"/>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hanno previsto che sono esentate dal pagamento dell’imposta gli atti a favore degli Enti del Terzo settore iscritti al RUNTS, nella forma di Organizzazioni di volontariato nonché di Cooperative Sociali di cui alla L. 8/11/1991 n°381 e succ. modifiche e integrazioni. Per usufruire dell’esenzione la parte deve dichiarare che il veicolo oggetto della trascrizione/iscrizione al PRA è utilizzato esclusivamente per lo svolgimento di attività, non commerciali, aventi finalità civiche, solidaristiche e di utilità sociale.</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1"/>
          <w:color w:val="ff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sono esentate dal pagamento dell'imposta gli atti a favore delle Organizzazioni di volontariato nonché delle Cooperative Sociali, che risultino regolarmente iscritte al Registro Unico Nazionale del Terzo Settore (RUNTS). </w:t>
      </w:r>
    </w:p>
    <w:p w:rsidR="00000000" w:rsidDel="00000000" w:rsidP="00000000" w:rsidRDefault="00000000" w:rsidRPr="00000000" w14:paraId="000001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L’esenzione totale dall’imposta va, al contrario, esclusa per le Associazioni di Promozione Sociale (APS) e per tutti gli altri enti del settore non ricadenti nelle categorie sopra richiamate. </w:t>
      </w:r>
    </w:p>
    <w:p w:rsidR="00000000" w:rsidDel="00000000" w:rsidP="00000000" w:rsidRDefault="00000000" w:rsidRPr="00000000" w14:paraId="000001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sono esentate dal pagamento dell'imposta gli atti a favore delle Organizzazioni di volontariato. Per tutti gli altri Enti del Terzo Settore iscritti al RUNTS, è previsto il pagamento dell'IPT agevolata al 10% (flag “G”) .</w:t>
      </w:r>
    </w:p>
    <w:p w:rsidR="00000000" w:rsidDel="00000000" w:rsidP="00000000" w:rsidRDefault="00000000" w:rsidRPr="00000000" w14:paraId="000001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confermato l’esenzione IPT in favore delle Organizzazioni di Volontariato nelle more della modifica del proprio Regolamento IPT e, comunque, non oltre il 31/12/2024.</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B">
      <w:pP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Perugia</w:t>
      </w:r>
      <w:r w:rsidDel="00000000" w:rsidR="00000000" w:rsidRPr="00000000">
        <w:rPr>
          <w:rFonts w:ascii="Comic Sans MS" w:cs="Comic Sans MS" w:eastAsia="Comic Sans MS" w:hAnsi="Comic Sans MS"/>
          <w:sz w:val="24"/>
          <w:szCs w:val="24"/>
          <w:rtl w:val="0"/>
        </w:rPr>
        <w:t xml:space="preserve"> ha confermato l’esenzione IPT in favore delle Organizzazioni di Volontariato nelle more della modifica del proprio Regolamento IPT.</w:t>
      </w:r>
    </w:p>
    <w:p w:rsidR="00000000" w:rsidDel="00000000" w:rsidP="00000000" w:rsidRDefault="00000000" w:rsidRPr="00000000" w14:paraId="000001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SW non prevedono alcun flag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ad hoc</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pratiche Copernico, presente nel campo esenzione.</w:t>
      </w:r>
    </w:p>
    <w:p w:rsidR="00000000" w:rsidDel="00000000" w:rsidP="00000000" w:rsidRDefault="00000000" w:rsidRPr="00000000" w14:paraId="0000016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Viterbo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pratiche Copernico );</w:t>
      </w:r>
    </w:p>
    <w:p w:rsidR="00000000" w:rsidDel="00000000" w:rsidP="00000000" w:rsidRDefault="00000000" w:rsidRPr="00000000" w14:paraId="000001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l’IPT in misura fissa per gli atti a favore Imprese Sociali costituite anche in forma di cooperativa iscritte al RUNTS. Per il corretto calcolo degli importi, nelle more del rilascio di uno specifico flag del campo disabile, sarà possibile procedere valorizzando il flag “A” del campo esenzione.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7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Novara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valorizzare il flag “C” del campo disabile.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2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ONG:</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l’esenzione dell’IPT per le formalità a favore delle Organizzazioni non governative riconosciute idonee ai sensi della L.16/02/1987 n.49.</w:t>
      </w:r>
      <w:r w:rsidDel="00000000" w:rsidR="00000000" w:rsidRPr="00000000">
        <w:rPr>
          <w:rtl w:val="0"/>
        </w:rPr>
      </w:r>
    </w:p>
    <w:p w:rsidR="00000000" w:rsidDel="00000000" w:rsidP="00000000" w:rsidRDefault="00000000" w:rsidRPr="00000000" w14:paraId="0000017F">
      <w:pPr>
        <w:rP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CANCELLAZIONI DI IPOTECHE</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Cagliari,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Pisa,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Sassari, 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Vercelli,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SOGGETTI AD IVA</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rsidR="00000000" w:rsidDel="00000000" w:rsidP="00000000" w:rsidRDefault="00000000" w:rsidRPr="00000000" w14:paraId="0000018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10"/>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2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 atti soggetti ad IVA di competenza di tali Province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quindi più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necessario allegare alle formalità alcuna documentazione comprovante che l’atto sia soggetto ad IVA in quanto ciò non ha più ripercussioni di natura fiscale. Pertanto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AUTONOME:</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A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1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FATTURE ESENTI DA IVA</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Bolzano e Trento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l’IPT in misura proporzionale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trascrizioni relative ad operazioni esenti da IVA ai sensi dell’ art. 10, n. 27 quinquies del DPR 633/72.</w:t>
      </w:r>
    </w:p>
    <w:p w:rsidR="00000000" w:rsidDel="00000000" w:rsidP="00000000" w:rsidRDefault="00000000" w:rsidRPr="00000000" w14:paraId="000001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IPT PER VEICOLI “STORICI”.</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con il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solo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C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C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C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highlight w:val="yellow"/>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Campobasso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si presume l'uso professionale del veicolo o del motoveicolo nel caso di intestazione in capo a soggetti titolari di partita IVA. Pertanto, l’agevolazione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C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C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D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D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D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D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D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D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 Ascoli Piceno e 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E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E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E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formalità.</w:t>
      </w:r>
    </w:p>
    <w:p w:rsidR="00000000" w:rsidDel="00000000" w:rsidP="00000000" w:rsidRDefault="00000000" w:rsidRPr="00000000" w14:paraId="000001E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E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E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E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E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E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F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1F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1F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1F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1F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1"/>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p>
    <w:p w:rsidR="00000000" w:rsidDel="00000000" w:rsidP="00000000" w:rsidRDefault="00000000" w:rsidRPr="00000000" w14:paraId="000001F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tale regola generale fa eccezione la Provincia autonoma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1F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conseguenza, solo per le formalità di competenza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1"/>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2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ALTRE CASISTICHE PARTICOLARI:</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0F">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(sempre a far data dal 01 gennaio 2012),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dall’11/03/2019),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25/11/2019),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01/01/2000), Le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cco, Nuoro, Pavia,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01/01/2021),</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Agrigento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Rieti, Rovigo,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03/06/2023)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10/11/2023) hanno previsto che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va pagata IPT in caso di acquisti di veicoli da parte della stessa Provincia; in tali casi, infatti, il soggetto attivo e passivo d’imposta coincidono. Per il corretto calcolo degli importi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disabile presente nella maschera degli importi delle procedure telematiche. </w:t>
      </w:r>
    </w:p>
    <w:p w:rsidR="00000000" w:rsidDel="00000000" w:rsidP="00000000" w:rsidRDefault="00000000" w:rsidRPr="00000000" w14:paraId="000002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nonché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(queste ultime due Province limitatamente alle formalità di prima iscrizione al PRA di veicolo nuovo), hanno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su tale punto, ha precisato che l’agevolazione può essere concessa a tutte le Imprese iscritte alla Camera di Commercio che risultino attive e che utilizzino il veicolo per la propria attività di impresa (quindi non solo a favore di imprese che esercitano attività di autotrasporto cose in conto proprio).</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5" w:hanging="2"/>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L’Amministrazione Provinciale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hyperlink r:id="rId10">
        <w:r w:rsidDel="00000000" w:rsidR="00000000" w:rsidRPr="00000000">
          <w:rPr>
            <w:rFonts w:ascii="Comic Sans MS" w:cs="Comic Sans MS" w:eastAsia="Comic Sans MS" w:hAnsi="Comic Sans MS"/>
            <w:b w:val="0"/>
            <w:i w:val="0"/>
            <w:smallCaps w:val="0"/>
            <w:strike w:val="0"/>
            <w:color w:val="0563c1"/>
            <w:sz w:val="24"/>
            <w:szCs w:val="24"/>
            <w:u w:val="single"/>
            <w:shd w:fill="auto" w:val="clear"/>
            <w:vertAlign w:val="baseline"/>
            <w:rtl w:val="0"/>
          </w:rPr>
          <w:t xml:space="preserve">http://www.up.aci.it/firenze/IMG/pdf/Dichiarazione_sostitutiva_per_autocarri-6.pdf</w:t>
        </w:r>
      </w:hyperlink>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limitatamente alle formalità di prima iscrizione di veicolo nuovo, ha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 e a trattori stradali destinati al traino di semirimorchi.</w:t>
      </w:r>
    </w:p>
    <w:p w:rsidR="00000000" w:rsidDel="00000000" w:rsidP="00000000" w:rsidRDefault="00000000" w:rsidRPr="00000000" w14:paraId="000002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veicoli uso locazione senza conducente a favore di imprese esercenti i servizi di locazione senza conducente;</w:t>
      </w:r>
    </w:p>
    <w:p w:rsidR="00000000" w:rsidDel="00000000" w:rsidP="00000000" w:rsidRDefault="00000000" w:rsidRPr="00000000" w14:paraId="000002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16/06/2014</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Reggio Emilia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ha previsto, dal 01.01.2024, </w:t>
      </w:r>
      <w:r w:rsidDel="00000000" w:rsidR="00000000" w:rsidRPr="00000000">
        <w:rPr>
          <w:rFonts w:ascii="Times New Roman" w:cs="Times New Roman" w:eastAsia="Times New Roman" w:hAnsi="Times New Roman"/>
          <w:b w:val="0"/>
          <w:i w:val="0"/>
          <w:smallCaps w:val="0"/>
          <w:strike w:val="0"/>
          <w:color w:val="000000"/>
          <w:sz w:val="14"/>
          <w:szCs w:val="14"/>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sanitari e ambulanze acquistate da ASL e da altre Associazioni di pubblica assistenza diverse dalle Onlus;</w:t>
      </w:r>
    </w:p>
    <w:p w:rsidR="00000000" w:rsidDel="00000000" w:rsidP="00000000" w:rsidRDefault="00000000" w:rsidRPr="00000000" w14:paraId="0000024D">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Mezzi di trasporto pubblico acquistate dalle aziende di trasporto pubblico locale.</w:t>
      </w:r>
    </w:p>
    <w:p w:rsidR="00000000" w:rsidDel="00000000" w:rsidP="00000000" w:rsidRDefault="00000000" w:rsidRPr="00000000" w14:paraId="000002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oltre 1 anno di tardività;</w:t>
      </w:r>
    </w:p>
    <w:p w:rsidR="00000000" w:rsidDel="00000000" w:rsidP="00000000" w:rsidRDefault="00000000" w:rsidRPr="00000000" w14:paraId="00000253">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sempre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Valle d’Aosta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veicoli di origine sconosciuta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5B">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nome e del cognome in seguito ad apposito decreto prefettizio;</w:t>
      </w:r>
    </w:p>
    <w:p w:rsidR="00000000" w:rsidDel="00000000" w:rsidP="00000000" w:rsidRDefault="00000000" w:rsidRPr="00000000" w14:paraId="0000025C">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Rettifica dello stato civile a seguito di decreto emesso dal tribunale;</w:t>
      </w:r>
    </w:p>
    <w:p w:rsidR="00000000" w:rsidDel="00000000" w:rsidP="00000000" w:rsidRDefault="00000000" w:rsidRPr="00000000" w14:paraId="0000025D">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in seguito ad adozione;</w:t>
      </w:r>
    </w:p>
    <w:p w:rsidR="00000000" w:rsidDel="00000000" w:rsidP="00000000" w:rsidRDefault="00000000" w:rsidRPr="00000000" w14:paraId="0000025E">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esibizione dell'originale al pubblico ufficiale e conformità sulla copia dichiarata dallo stesso</w:t>
      </w:r>
    </w:p>
    <w:p w:rsidR="00000000" w:rsidDel="00000000" w:rsidP="00000000" w:rsidRDefault="00000000" w:rsidRPr="00000000" w14:paraId="00000265">
      <w:pPr>
        <w:keepNext w:val="0"/>
        <w:keepLines w:val="0"/>
        <w:pageBreakBefore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rilascio copia conforme all'originale da parte del soggetto che conserva l'originale</w:t>
      </w:r>
    </w:p>
    <w:p w:rsidR="00000000" w:rsidDel="00000000" w:rsidP="00000000" w:rsidRDefault="00000000" w:rsidRPr="00000000" w14:paraId="00000266">
      <w:pPr>
        <w:keepNext w:val="0"/>
        <w:keepLines w:val="0"/>
        <w:pageBreakBefore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ds di atto notorio.</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36"/>
          <w:szCs w:val="36"/>
          <w:u w:val="singl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a tutela del venditore: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6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recupero dell’imposta nei confronti del soggetto acquirente verrà effettuato direttamente dalla Provincia.</w:t>
      </w:r>
    </w:p>
    <w:p w:rsidR="00000000" w:rsidDel="00000000" w:rsidP="00000000" w:rsidRDefault="00000000" w:rsidRPr="00000000" w14:paraId="0000026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7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Atto pubblico</w:t>
      </w:r>
    </w:p>
    <w:p w:rsidR="00000000" w:rsidDel="00000000" w:rsidP="00000000" w:rsidRDefault="00000000" w:rsidRPr="00000000" w14:paraId="000002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Scrittura privata</w:t>
      </w:r>
    </w:p>
    <w:p w:rsidR="00000000" w:rsidDel="00000000" w:rsidP="00000000" w:rsidRDefault="00000000" w:rsidRPr="00000000" w14:paraId="0000027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Tutela del venditore.- Sentenza Giudiziaria</w:t>
      </w:r>
    </w:p>
    <w:p w:rsidR="00000000" w:rsidDel="00000000" w:rsidP="00000000" w:rsidRDefault="00000000" w:rsidRPr="00000000" w14:paraId="000002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Atto Amministrativo</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 </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Agrigento,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 Arezzo, Oristano, Pisa, Rovigo, Torino , Verbano Cusio Ossola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7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la fotocopia del documento, anche  se scaduto, può essere accettata.</w:t>
      </w:r>
    </w:p>
    <w:p w:rsidR="00000000" w:rsidDel="00000000" w:rsidP="00000000" w:rsidRDefault="00000000" w:rsidRPr="00000000" w14:paraId="0000027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stata prevista, invece, dalla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7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il venditore, rimasto intestatario al PRA,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7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8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8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dovranno essere valorizzati:</w:t>
      </w:r>
    </w:p>
    <w:p w:rsidR="00000000" w:rsidDel="00000000" w:rsidP="00000000" w:rsidRDefault="00000000" w:rsidRPr="00000000" w14:paraId="0000028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8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 Tutela del venditore- Atto pubblico</w:t>
      </w:r>
    </w:p>
    <w:p w:rsidR="00000000" w:rsidDel="00000000" w:rsidP="00000000" w:rsidRDefault="00000000" w:rsidRPr="00000000" w14:paraId="0000028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TB: Tutela del venditore - Scrittura privata</w:t>
      </w:r>
    </w:p>
    <w:p w:rsidR="00000000" w:rsidDel="00000000" w:rsidP="00000000" w:rsidRDefault="00000000" w:rsidRPr="00000000" w14:paraId="000002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TC: Tutela del venditore.- Sentenza Giudiziaria</w:t>
      </w:r>
    </w:p>
    <w:p w:rsidR="00000000" w:rsidDel="00000000" w:rsidP="00000000" w:rsidRDefault="00000000" w:rsidRPr="00000000" w14:paraId="0000028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TD: Tutela del venditore – Atto Amministrativo</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“V”.</w:t>
      </w:r>
    </w:p>
    <w:p w:rsidR="00000000" w:rsidDel="00000000" w:rsidP="00000000" w:rsidRDefault="00000000" w:rsidRPr="00000000" w14:paraId="0000028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ex art.2688 c.c.: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Modico valore: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Gestione formalità respinte: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9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9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9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Rimborso IPT: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76"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5">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6">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abstractNum w:abstractNumId="7">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8">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1">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12">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16">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17">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9">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20">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
    <w:next w:val="normal"/>
    <w:rsid w:val="00DD15A5"/>
    <w:pPr>
      <w:keepNext w:val="1"/>
      <w:keepLines w:val="1"/>
      <w:spacing w:after="120" w:before="480"/>
      <w:outlineLvl w:val="0"/>
    </w:pPr>
    <w:rPr>
      <w:b w:val="1"/>
      <w:sz w:val="48"/>
      <w:szCs w:val="48"/>
    </w:rPr>
  </w:style>
  <w:style w:type="paragraph" w:styleId="Titolo2">
    <w:name w:val="heading 2"/>
    <w:basedOn w:val="normal"/>
    <w:next w:val="normal"/>
    <w:rsid w:val="00DD15A5"/>
    <w:pPr>
      <w:keepNext w:val="1"/>
      <w:keepLines w:val="1"/>
      <w:spacing w:after="80" w:before="360"/>
      <w:outlineLvl w:val="1"/>
    </w:pPr>
    <w:rPr>
      <w:b w:val="1"/>
      <w:sz w:val="36"/>
      <w:szCs w:val="36"/>
    </w:rPr>
  </w:style>
  <w:style w:type="paragraph" w:styleId="Titolo3">
    <w:name w:val="heading 3"/>
    <w:basedOn w:val="normal"/>
    <w:next w:val="normal"/>
    <w:rsid w:val="00DD15A5"/>
    <w:pPr>
      <w:keepNext w:val="1"/>
      <w:keepLines w:val="1"/>
      <w:spacing w:after="80" w:before="280"/>
      <w:outlineLvl w:val="2"/>
    </w:pPr>
    <w:rPr>
      <w:b w:val="1"/>
      <w:sz w:val="28"/>
      <w:szCs w:val="28"/>
    </w:rPr>
  </w:style>
  <w:style w:type="paragraph" w:styleId="Titolo4">
    <w:name w:val="heading 4"/>
    <w:basedOn w:val="normal"/>
    <w:next w:val="normal"/>
    <w:rsid w:val="00DD15A5"/>
    <w:pPr>
      <w:keepNext w:val="1"/>
      <w:keepLines w:val="1"/>
      <w:spacing w:after="40" w:before="240"/>
      <w:outlineLvl w:val="3"/>
    </w:pPr>
    <w:rPr>
      <w:b w:val="1"/>
      <w:sz w:val="24"/>
      <w:szCs w:val="24"/>
    </w:rPr>
  </w:style>
  <w:style w:type="paragraph" w:styleId="Titolo5">
    <w:name w:val="heading 5"/>
    <w:basedOn w:val="normal"/>
    <w:next w:val="normal"/>
    <w:rsid w:val="00DD15A5"/>
    <w:pPr>
      <w:keepNext w:val="1"/>
      <w:keepLines w:val="1"/>
      <w:spacing w:after="40" w:before="220"/>
      <w:outlineLvl w:val="4"/>
    </w:pPr>
    <w:rPr>
      <w:b w:val="1"/>
      <w:sz w:val="22"/>
      <w:szCs w:val="22"/>
    </w:rPr>
  </w:style>
  <w:style w:type="paragraph" w:styleId="Titolo6">
    <w:name w:val="heading 6"/>
    <w:basedOn w:val="normal"/>
    <w:next w:val="normal"/>
    <w:rsid w:val="00DD15A5"/>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DD15A5"/>
  </w:style>
  <w:style w:type="table" w:styleId="TableNormal" w:customStyle="1">
    <w:name w:val="Table Normal"/>
    <w:rsid w:val="00DD15A5"/>
    <w:tblPr>
      <w:tblCellMar>
        <w:top w:w="0.0" w:type="dxa"/>
        <w:left w:w="0.0" w:type="dxa"/>
        <w:bottom w:w="0.0" w:type="dxa"/>
        <w:right w:w="0.0" w:type="dxa"/>
      </w:tblCellMar>
    </w:tblPr>
  </w:style>
  <w:style w:type="paragraph" w:styleId="Titolo">
    <w:name w:val="Title"/>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72"/>
      <w:szCs w:val="72"/>
    </w:rPr>
  </w:style>
  <w:style w:type="paragraph" w:styleId="normal" w:customStyle="1">
    <w:name w:val="normal"/>
    <w:rsid w:val="00DD15A5"/>
  </w:style>
  <w:style w:type="table" w:styleId="TableNormal0"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
    <w:autoRedefine w:val="1"/>
    <w:hidden w:val="1"/>
    <w:qFormat w:val="1"/>
    <w:rsid w:val="00DD15A5"/>
    <w:pPr>
      <w:keepNext w:val="1"/>
      <w:spacing w:after="120" w:before="240"/>
    </w:pPr>
    <w:rPr>
      <w:rFonts w:ascii="Arial" w:cs="Lucida Sans" w:eastAsia="Microsoft YaHei" w:hAnsi="Arial"/>
      <w:sz w:val="28"/>
      <w:szCs w:val="28"/>
    </w:rPr>
  </w:style>
  <w:style w:type="paragraph" w:styleId="Corpotesto" w:customStyle="1">
    <w:name w:val="Corpo testo"/>
    <w:basedOn w:val="Predefinito"/>
    <w:autoRedefine w:val="1"/>
    <w:hidden w:val="1"/>
    <w:qFormat w:val="1"/>
    <w:rsid w:val="00DD15A5"/>
    <w:pPr>
      <w:spacing w:after="120"/>
    </w:pPr>
  </w:style>
  <w:style w:type="paragraph" w:styleId="Elenco">
    <w:name w:val="List"/>
    <w:basedOn w:val="Corpotesto"/>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Sottotitolo">
    <w:name w:val="Subtitle"/>
    <w:basedOn w:val="normal"/>
    <w:next w:val="normal"/>
    <w:rsid w:val="00DD15A5"/>
    <w:pPr>
      <w:keepNext w:val="1"/>
      <w:keepLines w:val="1"/>
      <w:spacing w:after="80" w:before="360"/>
    </w:pPr>
    <w:rPr>
      <w:rFonts w:ascii="Georgia" w:cs="Georgia" w:eastAsia="Georgia" w:hAnsi="Georgia"/>
      <w:i w:val="1"/>
      <w:color w:val="666666"/>
      <w:sz w:val="48"/>
      <w:szCs w:val="48"/>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0"/>
    <w:rsid w:val="00DD15A5"/>
    <w:tblPr>
      <w:tblStyleRowBandSize w:val="1"/>
      <w:tblStyleColBandSize w:val="1"/>
      <w:tblCellMar>
        <w:top w:w="28.0" w:type="dxa"/>
        <w:left w:w="108.0" w:type="dxa"/>
        <w:bottom w:w="28.0" w:type="dxa"/>
        <w:right w:w="108.0" w:type="dxa"/>
      </w:tblCellMar>
    </w:tblPr>
  </w:style>
  <w:style w:type="table" w:styleId="a0" w:customStyle="1">
    <w:basedOn w:val="TableNormal0"/>
    <w:rsid w:val="00DD15A5"/>
    <w:tblPr>
      <w:tblStyleRowBandSize w:val="1"/>
      <w:tblStyleColBandSize w:val="1"/>
      <w:tblCellMar>
        <w:top w:w="28.0" w:type="dxa"/>
        <w:left w:w="108.0" w:type="dxa"/>
        <w:bottom w:w="28.0" w:type="dxa"/>
        <w:right w:w="108.0" w:type="dxa"/>
      </w:tblCellMar>
    </w:tblPr>
  </w:style>
  <w:style w:type="table" w:styleId="a1" w:customStyle="1">
    <w:basedOn w:val="TableNormal0"/>
    <w:rsid w:val="00DD15A5"/>
    <w:tblPr>
      <w:tblStyleRowBandSize w:val="1"/>
      <w:tblStyleColBandSize w:val="1"/>
      <w:tblCellMar>
        <w:top w:w="28.0" w:type="dxa"/>
        <w:left w:w="108.0" w:type="dxa"/>
        <w:bottom w:w="28.0" w:type="dxa"/>
        <w:right w:w="108.0" w:type="dxa"/>
      </w:tblCellMar>
    </w:tblPr>
  </w:style>
  <w:style w:type="table" w:styleId="a2" w:customStyle="1">
    <w:basedOn w:val="TableNormal0"/>
    <w:rsid w:val="00DD15A5"/>
    <w:tblPr>
      <w:tblStyleRowBandSize w:val="1"/>
      <w:tblStyleColBandSize w:val="1"/>
      <w:tblCellMar>
        <w:top w:w="28.0" w:type="dxa"/>
        <w:left w:w="108.0" w:type="dxa"/>
        <w:bottom w:w="28.0" w:type="dxa"/>
        <w:right w:w="108.0" w:type="dxa"/>
      </w:tblCellMar>
    </w:tblPr>
  </w:style>
  <w:style w:type="table" w:styleId="a3" w:customStyle="1">
    <w:basedOn w:val="TableNormal0"/>
    <w:rsid w:val="00DD15A5"/>
    <w:tblPr>
      <w:tblStyleRowBandSize w:val="1"/>
      <w:tblStyleColBandSize w:val="1"/>
      <w:tblCellMar>
        <w:top w:w="28.0" w:type="dxa"/>
        <w:left w:w="108.0" w:type="dxa"/>
        <w:bottom w:w="28.0" w:type="dxa"/>
        <w:right w:w="108.0" w:type="dxa"/>
      </w:tblCellMar>
    </w:tblPr>
  </w:style>
  <w:style w:type="table" w:styleId="a4" w:customStyle="1">
    <w:basedOn w:val="TableNormal0"/>
    <w:rsid w:val="00DD15A5"/>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up.aci.it/firenze/IMG/pdf/Dichiarazione_sostitutiva_per_autocarri-6.pdf" TargetMode="Externa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footer" Target="footer3.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KBKwWjBud9ubFfZSdrpnugs2Q==">CgMxLjAyCGguZ2pkZ3hzMgloLjMwajB6bGw4AHIhMURONHhvbUxHOUJLQ3RuQ0JvV0lIUzR5OXN0cEtVT0R2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2024-10-04T07:29:00Z</dcterms:created>
  <dc:creator>Fazzi Milena</dc:creator>
</cp:coreProperties>
</file>