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42.0" w:type="dxa"/>
        <w:jc w:val="left"/>
        <w:tblLayout w:type="fixed"/>
        <w:tblLook w:val="0000"/>
      </w:tblPr>
      <w:tblGrid>
        <w:gridCol w:w="14342"/>
        <w:tblGridChange w:id="0">
          <w:tblGrid>
            <w:gridCol w:w="14342"/>
          </w:tblGrid>
        </w:tblGridChange>
      </w:tblGrid>
      <w:tr>
        <w:trPr>
          <w:cantSplit w:val="0"/>
          <w:trHeight w:val="6546" w:hRule="atLeast"/>
          <w:tblHeader w:val="0"/>
        </w:trPr>
        <w:tc>
          <w:tcPr>
            <w:tcBorders>
              <w:top w:color="000000" w:space="0" w:sz="4" w:val="single"/>
              <w:left w:color="000000" w:space="0" w:sz="4" w:val="single"/>
              <w:bottom w:color="000000" w:space="0" w:sz="4" w:val="single"/>
              <w:right w:color="000000" w:space="0" w:sz="4" w:val="single"/>
            </w:tcBorders>
            <w:shd w:fill="ccffcc" w:val="clea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Comic Sans MS" w:cs="Comic Sans MS" w:eastAsia="Comic Sans MS" w:hAnsi="Comic Sans MS"/>
                <w:b w:val="0"/>
                <w:i w:val="0"/>
                <w:smallCaps w:val="0"/>
                <w:strike w:val="0"/>
                <w:color w:val="000000"/>
                <w:sz w:val="52"/>
                <w:szCs w:val="5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AGEVOLAZIONI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IPT DELIBERATE DALLE AMMINISTRAZIONI PROVINCIALI</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SCHEDA DI SINTESI INFORMAZIONI PER LA GESTIONE IPT</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183" w:right="284" w:hanging="368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AGGIORNAMENTO n.21</w:t>
            </w:r>
            <w:r w:rsidDel="00000000" w:rsidR="00000000" w:rsidRPr="00000000">
              <w:rPr>
                <w:rFonts w:ascii="Comic Sans MS" w:cs="Comic Sans MS" w:eastAsia="Comic Sans MS" w:hAnsi="Comic Sans MS"/>
                <w:b w:val="1"/>
                <w:sz w:val="52"/>
                <w:szCs w:val="52"/>
                <w:rtl w:val="0"/>
              </w:rPr>
              <w:t xml:space="preserve">8</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cura della Direzione Gestione e sviluppo del PRA</w:t>
        <w:tab/>
        <w:tab/>
        <w:tab/>
        <w:tab/>
        <w:tab/>
        <w:tab/>
        <w:tab/>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fiscalità automobilistica e servizi agli Enti territoriali                                                                                                                             Gennaio  2023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04" w:right="284"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FORMALITA’ A FAVORE DEI PORTATORI DI HANDICAP</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 tal proposito si richiama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hanno comunque deciso di introdurre dei tempi di tolleranza riconoscendo le agevolazioni anche nel caso in cui il disabile risulti avere venduto (inteso come formazione atto di vendita) o radiato il primo veicolo entro un determinato periodo di tempo (prevedendo anche termini diversi).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Poiché il PRA effettua il controllo e la riscossione dell'IPT alla presentazione delle formalità - quindi sulla base delle risultanze degli Archivi PRA in quel momento o sulla base della presenza della copia dell’atto di vendita del primo veicolo all’interno del fascicolo, ai sensi della L.C. sopra richiamata - senza poter prevedere se verrà formato un atto o cancellato dal PRA un veicolo entro termini di tolleranza stabiliti dalla singola Provincia, tali casistiche possono essere gestite solo con istanza di rimborso.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Tutto ciò premesso, per eventuali rimborsi gestiti da PRA diversi da quello di competenza, qualora si presentassero casi dubbi, gli Operatori PRA sono tenuti a consultare sempre l’Ufficio di competenza prima di dare esito all’istanza di rimborso.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hanging="72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1.1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una riduzione al 10% dell’IPT per le formalità  a favore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tutti i disabili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non inclusi nella normativa nazionale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il corretto calcolo degli importi bisogna inserire nel campo disabile il carattere “L” previsto dalle procedure telematiche).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b w:val="0"/>
          <w:i w:val="0"/>
          <w:smallCaps w:val="0"/>
          <w:strike w:val="0"/>
          <w:color w:val="ff0000"/>
          <w:sz w:val="17"/>
          <w:szCs w:val="17"/>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12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con decorrenza 01.01.2014, il pagamento dell’IPT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ridotta al 50%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sugli atti di natura traslativa o dichiarativa aventi ad oggetto veicoli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 adattati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intestati a soggetti affetti da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handicap grave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capacità di deambulazione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sensibilmente ridotta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come riconosciuto dalla Commissione medica competente, oppure intestati ai familiari cui tali soggetti risultino fiscalmente a carico. Per il corretto calcolo degli importi selezionare il flag “Z” nel campo disabile.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280" w:line="240" w:lineRule="auto"/>
        <w:ind w:left="0" w:right="284" w:firstLine="15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Isernia, Sassari e 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Valle d’Aosta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titolare di patente speciale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sia altresì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intestatario del veicolo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prescritti dalle commissioni mediche locali.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1.2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Roma, Pistoia,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Cosenza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Benevento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 w:line="240" w:lineRule="auto"/>
        <w:ind w:left="720" w:right="28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dichiarazione che al momento della richiesta di trascrizione in esenzione per il nuovo veicolo non sia stato rinvenuto e/o restituito quello oggetto di furto (per tale dichiarazione sostitutiva utilizzare il modello di DS con testo libero).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360" w:right="28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precisa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 e Cuneo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28" w:right="395"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ala veicolo rubato;</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28" w:right="395"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28" w:right="395"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Cremona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usufruire nuovamente delle agevolazioni, il soggetto disabile dovrà esibire al PRA la denuncia in originale presentata alle autorità competenti.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Barletta-Andria-Trani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furto o appropriazione indebita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Lecco, 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Lodi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rinvenimento del veicolo rubato e conseguente annotazione di rientro in possesso, la parte dovrà versare l’importo IPT relativo all’ulteriore esenzione di cui ha beneficiato.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1.3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IN FAVORE DI DISABILI “SENSORIALI”</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01/01/2019): per entrambe le Province in parola le agevolazioni sono previste con riferimento ai soggetti non vedenti o sordomuti assoluti, così come individuati dall’art.1c.2 della L. 68/1999 e dalla Circolare dell’Agenzia delle Entrate n. 72/2001.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Altre Province, invece, hanno previsto agevolazioni a favore dei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secondo il dettaglio riportato nella seguente tabella nella quale è indicato anche il carattere da inserire nel campo disabile per il corretto calcolo degli importi da parte delle procedure telematiche: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4452.0" w:type="dxa"/>
        <w:jc w:val="left"/>
        <w:tblInd w:w="-82.0" w:type="dxa"/>
        <w:tblLayout w:type="fixed"/>
        <w:tblLook w:val="0000"/>
      </w:tblPr>
      <w:tblGrid>
        <w:gridCol w:w="9610"/>
        <w:gridCol w:w="2050"/>
        <w:gridCol w:w="2792"/>
        <w:tblGridChange w:id="0">
          <w:tblGrid>
            <w:gridCol w:w="9610"/>
            <w:gridCol w:w="2050"/>
            <w:gridCol w:w="2792"/>
          </w:tblGrid>
        </w:tblGridChange>
      </w:tblGrid>
      <w:tr>
        <w:trPr>
          <w:cantSplit w:val="0"/>
          <w:trHeight w:val="1240" w:hRule="atLeast"/>
          <w:tblHeader w:val="0"/>
        </w:trPr>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PROVINCE</w:t>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FLAG PER IL CALCOLO DEGLI IMPORTI</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Asti, Bergamo, Brescia, Como, Chieti, Cremona, Lecco, Lodi, Massa Carrara, Milano, Monza Brianza,Novara, Nuoro, Padova, Pavia, Piacenza,  Reggio Calabria, Rieti, Rimini, Salerno,</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Siena, Varese, Verbano Cusio Ossola,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Y</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Mantova,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H</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Bari, Belluno, La Spezia, Parma, Perugia, Terni, Teramo,</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Trapani </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Friuli Venezia Giulia,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Genova, Grosseto,  Imperia, Messina,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Pisa, Potenza, Rovigo, Sondrio,</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Verona, Vicenza,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Forlì Cesena,Pescara, Treviso,</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Ravenna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Ancona, Aosta, Catania,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Cuneo, Fermo, Frosinone, Latina, Macerata, Pesaro Urbino, Pistoia, Siracusa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X</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Foggia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Benevento, Bolzano, Sassari, Trento.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esenzione 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Q</w:t>
            </w: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(per le Province contrassegnate con * le procedure per il calcolo degli importi non sono ancora state rilasciate)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 eccezione a tale principio l’agevolazione stabilita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tale agevolazione prevista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Belluno, Bolzano, Cagliari, 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Cuneo, Fermo, Foggia, Forlì-Cesena, Frosinone, Genova,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Perugia, Pesaro Urbino, Pescara, Pisa, Pistoia, Potenza, Ravenna, Reggio Calabria, Rieti, Rimini, Salerno, Sassari, Siena, Siracusa, Sud Sardegna, Terni, Teramo,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Varese, Verbano Cusio Ossola, Trapani, Treviso, Verona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le agevolazioni ai soggetti rientranti nei casi previsti dall’art.1 comma 2 della L.68/1999 e dalla circolare n.72 del 30/7/2001 dell’Agenzia delle Entrate, Direzione Centrale Normativa e Contenzioso;si evidenzia, 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nel caso in cui il disabile sensoriale risulti titolare di redditi propri superiori al limite vigente per essere considerati “ familiari fiscalmente a carico” ( vedasi DPR n.917 del 22 dicembre 1986), il veicolo deve essere obbligatoriamente intestato al disabile stesso, anche se sprovvisto di permesso di guida.</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e 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Massa Carrara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Mantova, Piacenza e 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Infine si ritiene opportuno ricordare quali veicoli a motore possono essere oggetto degli atti di natura traslativa o dichiarativa per la cui trascrizione è possibile richiedere di usufruire delle suddette agevolazioni: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quest’ultimo punto si differenzia dalle altre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concesso le agevolazioni solo per le autovetture, senza alcuna limitazione nel caso di atti soggetti ad IVA e fino a 100 KW nel caso di atti non soggetti ad IVA.</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Pistoia e Verona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01/01/2008),</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Aosta e Parma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01/01/2009)</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30/03/2009),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al PRA a far data dal 01.06.2012)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per le formalità presentate dal 01.01.2014),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dal 01.01.2015),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dal 01.01.2016),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(01.01.2017)</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16.10.2017),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per poter accedere alle agevolazioni è necessario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formalità siano consecutive ed entrambe di propria competenza.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dal Sportelli degli Uffici periferici ACI.</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Milano, Pavia, Perugia, Reggio Calabria, Varese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7/12/2009),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Monza Brianza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01/01/2011),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01.01.2013)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20 febbraio 2022) hanno deliberato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acquisto di veicoli tra privati mortis</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causa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procedure applicative per il calcolo importi effettueranno – in modalità automatica - la corretta imputazione dell’Ipt dovuta a fronte dell’impostazione del campo “data apertura successione”.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con percentuale di maggiorazione al 30%.</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2009 , 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Pesaro-Urbino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in misura fissa nei seguenti casi:</w:t>
      </w:r>
    </w:p>
    <w:p w:rsidR="00000000" w:rsidDel="00000000" w:rsidP="00000000" w:rsidRDefault="00000000" w:rsidRPr="00000000" w14:paraId="000000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1" w:right="284" w:hanging="50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B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1" w:right="284" w:hanging="5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favore di tutti gli eredi (flag I) con contestuale trasferimento a uno o più eredi (flag J), in relazione a ciascuna formalità trascritta o annotata ;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presentate dal 01/01/2009:</w:t>
      </w:r>
    </w:p>
    <w:p w:rsidR="00000000" w:rsidDel="00000000" w:rsidP="00000000" w:rsidRDefault="00000000" w:rsidRPr="00000000" w14:paraId="000000B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1" w:right="286" w:hanging="56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B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1" w:right="286" w:hanging="56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B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1" w:right="286" w:hanging="56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invece,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fissa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comprensiva della maggiorazione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tutti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casi di trasferimento d’azienda da genitore a figli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mortis causa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condizione che uno degli eredi prosegua l’esercizio dell’attività d’impresa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valorizzare il campo “data apertura successione” e selezionare il flag “P” presente nel campo “Agevolazione disabile”.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2017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 gennaio 2019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dal 28 ottobre 2021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Cosenza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hanno previsto che, nel caso di </w:t>
      </w:r>
      <w:r w:rsidDel="00000000" w:rsidR="00000000" w:rsidRPr="00000000">
        <w:rPr>
          <w:rFonts w:ascii="Comic Sans MS" w:cs="Comic Sans MS" w:eastAsia="Comic Sans MS" w:hAnsi="Comic Sans MS"/>
          <w:b w:val="0"/>
          <w:i w:val="0"/>
          <w:smallCaps w:val="0"/>
          <w:strike w:val="0"/>
          <w:color w:val="000000"/>
          <w:sz w:val="24"/>
          <w:szCs w:val="24"/>
          <w:highlight w:val="white"/>
          <w:u w:val="single"/>
          <w:vertAlign w:val="baseline"/>
          <w:rtl w:val="0"/>
        </w:rPr>
        <w:t xml:space="preserve">contestuale presentazione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b w:val="0"/>
          <w:i w:val="0"/>
          <w:smallCaps w:val="0"/>
          <w:strike w:val="0"/>
          <w:color w:val="000000"/>
          <w:sz w:val="24"/>
          <w:szCs w:val="24"/>
          <w:highlight w:val="white"/>
          <w:u w:val="single"/>
          <w:vertAlign w:val="baseline"/>
          <w:rtl w:val="0"/>
        </w:rPr>
        <w:t xml:space="preserve">a uno degli eredi</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l’IPT venga applicata </w:t>
      </w:r>
      <w:r w:rsidDel="00000000" w:rsidR="00000000" w:rsidRPr="00000000">
        <w:rPr>
          <w:rFonts w:ascii="Comic Sans MS" w:cs="Comic Sans MS" w:eastAsia="Comic Sans MS" w:hAnsi="Comic Sans MS"/>
          <w:b w:val="0"/>
          <w:i w:val="0"/>
          <w:smallCaps w:val="0"/>
          <w:strike w:val="0"/>
          <w:color w:val="000000"/>
          <w:sz w:val="24"/>
          <w:szCs w:val="24"/>
          <w:highlight w:val="white"/>
          <w:u w:val="single"/>
          <w:vertAlign w:val="baseline"/>
          <w:rtl w:val="0"/>
        </w:rPr>
        <w:t xml:space="preserve">solo</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29 dicembre 2011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data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marzo 2012,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Applicazione dell’IPT fissa per ogni veicolo  per l’accettazione di eredità da parte dell’unico erede, per il corretto calcolo degli importi valorizzare il campo “data apertura successione”; </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 </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 presente nel campo agevolazione disabile, per il successivo trasferimento di proprietà, non contestuale, a favore dell’unico erede.</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560" w:right="284" w:hanging="42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284" w:hanging="42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60" w:right="284"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993" w:right="286" w:hanging="283.999999999999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993" w:right="286" w:hanging="283.999999999999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90% (flag “A”) a favore di tutti gli eredi e IPT proporzionale sulla trascrizione a favore di un soggetto terzo che vuole intestarsi il veicolo (quindi, sulla seconda formalità non è prevista alcuna agevolazione).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6"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6"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6"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VEICOLI ECO COMPATIBILI</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Potenza, Ravenna 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favore abbia diritto a più agevolazioni, si applicherà quella a lui più vantaggiosa.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del 20% della tariffa IPT per le formalità di prima iscrizione aventi ad oggetto veicoli ad alimentazione, esclusivo o doppio, a gas metano o GPL e per i veicoli con alimentazione elettrica.</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ha previsto la riduzione del 20% dell’IPT (calcolata sempre tenendo conto della percentuale di maggiorazione in vigore) per i veicoli ad alimentazione elettrica, esclusiva o doppia, e per quelli a idrogeno.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ha previsto l’applicazione della tariffa base dell’IPT, quindi senza alcuna maggiorazione, per i veicoli ad alimentazione, esclusiva o doppia, elettrica, a gas metano, a GPL, a idrogeno.</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Città Metropolitana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Napoli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SOCIETARI</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l’IPT in misura fissa  per le formalità di trascrizione di atti di fusione o scissione societaria, di conferimento di aziende o rami aziendali in società e conferimento di capitale in natura, cessione di aziende o rami aziendali. </w:t>
      </w:r>
      <w:r w:rsidDel="00000000" w:rsidR="00000000" w:rsidRPr="00000000">
        <w:rPr>
          <w:rFonts w:ascii="Comic Sans MS" w:cs="Comic Sans MS" w:eastAsia="Comic Sans MS" w:hAnsi="Comic Sans MS"/>
          <w:color w:val="ff0000"/>
          <w:sz w:val="24"/>
          <w:szCs w:val="24"/>
          <w:rtl w:val="0"/>
        </w:rPr>
        <w:t xml:space="preserve">Per la corretta gestione del calcolo importi a fronte di cessione di azienda o di ramo aziendale, va valorizzato il flag “V” nel campo “agevolazione disabili”.</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 gennaio 2008 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Chieti, Cremona, Milano, Pavia, Perugia, Reggio Calabria e Varese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Frosinone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Rieti, Sassari. </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medesima agevolazione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Latina,</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Terni e 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01.01.2017 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01/01/2018,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a far data dal 01/01/2023,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fronte degli atti societari di cui al Nuovo regolamento, l’IPT fissa con percentuale di maggiorazione al 30%.</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01/04/2015),</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Sud Sardegna, 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Forlì 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Monza Brianza, Bari, 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Pavia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atti di scioglimento e messa in liquidazione di società e contestuale prosecuzione dell’attività sociale in forma di ditta individuale.</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Atto pubblico</w:t>
      </w:r>
    </w:p>
    <w:p w:rsidR="00000000" w:rsidDel="00000000" w:rsidP="00000000" w:rsidRDefault="00000000" w:rsidRPr="00000000" w14:paraId="000001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Scrittura privata</w:t>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Atto societario.- Sentenza Giudiziaria</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 Atto Amministrativo</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4" w:firstLine="15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284" w:hanging="1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ESENZIONE A FAVORE DELLE IPAB</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Pescara, Ravenna, Reggio Calabria,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Sassari e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01/01/2010 dalla Provincia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Novara, Rovigo, Salerno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dalle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Cagliari e 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15/04/2011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Livorno,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 gennaio 2012, dalla Provincia di Isernia, dal 01.01.2015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01.01.2016 dalla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dalla Provincia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01.01.2017),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01.01.2019).</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ONLUS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con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TERZO SETTORE</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284"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IPT per le formalità a favore degli enti del Terzo settore di cui al D.L. n.117 del 3 luglio 2017.</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Pescara, Torino,</w:t>
      </w:r>
      <w:r w:rsidDel="00000000" w:rsidR="00000000" w:rsidRPr="00000000">
        <w:rPr>
          <w:rFonts w:ascii="Comic Sans MS" w:cs="Comic Sans MS" w:eastAsia="Comic Sans MS" w:hAnsi="Comic Sans MS"/>
          <w:b w:val="1"/>
          <w:i w:val="0"/>
          <w:smallCaps w:val="0"/>
          <w:strike w:val="0"/>
          <w:color w:val="ff3333"/>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sono esentate dal pagamento dell’imposta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09" w:right="284" w:hanging="70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ONG:</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l’esenzione dell’IPT per le formalità a favore delle Organizzazioni non governative riconosciute idonee ai sensi della L.16/02/1987 n.49.</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4" w:hanging="14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CANCELLAZIONI DI IPOTECHE </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Cagliari,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Pisa,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Sassari, 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Vercelli,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l’esenzione IPT per la cancellazione di ipoteche legali o convenzionali (art.3 comma 13 bis D.L.185/2008 convertito nella L.2/2009) si applicano esclusivamente alle formalità relative ad ipoteche iscritte dal 29/01/2009.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effettuano un controllo automatico sulla data di iscrizione dell’ipoteca.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SOGGETTI AD IVA:</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78" w:firstLine="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00" w:right="284" w:hanging="6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4"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 atti soggetti ad IVA di competenza di tali Province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quindi più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necessario allegare alle formalità alcuna documentazione comprovante che l’atto sia soggetto ad IVA in quanto ciò non ha più ripercussioni di natura fiscale. Pertanto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6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AUTONOME:</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0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15" w:right="0" w:hanging="6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4" w:hanging="1496"/>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4" w:hanging="14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FATTURE ESENTI DA IVA</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Bolzano e Trento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l’IPT in misura proporzionale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trascrizioni relative ad operazioni esenti da IVA ai sensi dell’ art. 10, n. 27 quinquies del DPR 633/72.</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IPT PER VEICOLI “STORICI”.</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con il 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Tale autocertificazione, quindi,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Ciò estende la possibilità di godere delle agevolazioni in parola anche nel caso di veicoli che per le loro caratteristiche vengono considerati generalmente ad uso professionale (autocarri, veicoli ad uso speciale o trasporto specifico). Tali casistiche, tuttavia, potranno essere gestite solo dallo sportello dell’Ufficio periferico ACI.</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uso non professionale alle formalità aventi ad oggetto tutte le classi di veicoli escluso motocicli e motocarrozzette in quanto non sono da considerarsi ad uso professionale, pertanto la Provincia non ritiene necessario alcun controllo preventivo.</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ha stabilito</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La Provincia</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Torino ha precisato che non possono essere riconosciute le agevolazioni in parola nel caso in cui la formalità venga effettuata a favore di una persona giuridica e che l’autocertificazione di uso non professionale deve essere presentata per tutti i veicoli ad eccezione dei motocicli. Eventuali casi particolari possono essere sottoposti direttamente all’Amministrazione Provinciale.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Pertanto, alla pratica con richiesta di agevolazione in favore di persona fisica si dovrà sempre allegare, per tutti i veicoli, la DS di uso non professionale.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 e Ascoli Piceno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formalità.</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tale regola generale fa eccezione la Provincia autonoma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conseguenza, solo per le formalità di competenza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sarà valorizzabile il flag “V” presente nel campo esenzione. Inoltre la Provincia ha confermato anche l’esenzione IPT per tutti i motocicli, anche nel caso in cui siano siano ultratrentennali o ultraventennali di interesse storico e collezionistico.</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ALTRE CASISTICHE PARTICOLARI:</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1D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0" w:right="28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284" w:firstLine="0"/>
        <w:jc w:val="both"/>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(sempre a far data dal 01 gennaio 2012),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dall’11/03/2019),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25/11/2019)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Pavia,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(dal 01/01/2021),</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non va pagata IPT in caso di acquisti di veicoli da parte della stessa Provincia; in tali casi, infatti, il soggetto attivo e passivo d’imposta coincidono. Per il corretto calcolo degli importi selezionare il flag "P" nel campo disabile presente nella maschera degli importi delle procedure telematiche.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284" w:firstLine="0"/>
        <w:jc w:val="both"/>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 formalità di prima iscrizione al PRA di veicolo nuovo), hanno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82"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ad ACI che la concessione dell’agevolazione dell’IPT debba estendersi anche ai Trattori stradali destinati al traino di semirimorchi.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L’Amministrazione Provinciale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hyperlink r:id="rId7">
        <w:r w:rsidDel="00000000" w:rsidR="00000000" w:rsidRPr="00000000">
          <w:rPr>
            <w:rFonts w:ascii="Comic Sans MS" w:cs="Comic Sans MS" w:eastAsia="Comic Sans MS" w:hAnsi="Comic Sans MS"/>
            <w:b w:val="0"/>
            <w:i w:val="0"/>
            <w:smallCaps w:val="0"/>
            <w:strike w:val="0"/>
            <w:color w:val="0563c1"/>
            <w:sz w:val="24"/>
            <w:szCs w:val="24"/>
            <w:u w:val="single"/>
            <w:shd w:fill="auto" w:val="clear"/>
            <w:vertAlign w:val="baseline"/>
            <w:rtl w:val="0"/>
          </w:rPr>
          <w:t xml:space="preserve">http://www.up.aci.it/firenze/IMG/pdf/Dichiarazione_sostitutiva_per_autocarri-6.pdf</w:t>
        </w:r>
      </w:hyperlink>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limitatamente alle formalità di prima iscrizione di veicolo nuovo, ha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2"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 e a trattori stradali destinati al traino di semirimorchi.</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53"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veicoli uso locazione senza conducente a favore di imprese esercenti i servizi di locazione senza conducente;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16/06/2014</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38"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sanitari e ambulanze acquistate da ASL e da altre Associazioni di pubblica assistenza diverse dalle Onlus;</w:t>
      </w:r>
    </w:p>
    <w:p w:rsidR="00000000" w:rsidDel="00000000" w:rsidP="00000000" w:rsidRDefault="00000000" w:rsidRPr="00000000" w14:paraId="000002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38"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Mezzi di trasporto pubblico acquistate dalle aziende di trasporto pubblico locale.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hanging="0.3385826771653910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hanging="0.3385826771653910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far data dal 24 aprile 2013 (data immatricolazione/data atto), la riduzione a 1/3 (cioè al 10%) della sanzione IRT in caso di formalità tardive per le quali non è più possibile accedere al ravvedimento operoso:</w:t>
      </w:r>
    </w:p>
    <w:p w:rsidR="00000000" w:rsidDel="00000000" w:rsidP="00000000" w:rsidRDefault="00000000" w:rsidRPr="00000000" w14:paraId="0000020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pos="2127"/>
        </w:tabs>
        <w:spacing w:after="0" w:before="0" w:line="240" w:lineRule="auto"/>
        <w:ind w:left="2127" w:right="284" w:hanging="70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oltre 1 anno di tardività;</w:t>
      </w:r>
    </w:p>
    <w:p w:rsidR="00000000" w:rsidDel="00000000" w:rsidP="00000000" w:rsidRDefault="00000000" w:rsidRPr="00000000" w14:paraId="0000020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pos="2127"/>
        </w:tabs>
        <w:spacing w:after="0" w:before="0" w:line="240" w:lineRule="auto"/>
        <w:ind w:left="2127" w:right="284" w:hanging="70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sempre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Valle d’Aosta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La Regione ha specificato che </w:t>
      </w:r>
      <w:r w:rsidDel="00000000" w:rsidR="00000000" w:rsidRPr="00000000">
        <w:rPr>
          <w:rFonts w:ascii="Comic Sans MS" w:cs="Comic Sans MS" w:eastAsia="Comic Sans MS" w:hAnsi="Comic Sans MS"/>
          <w:color w:val="ff0000"/>
          <w:sz w:val="24"/>
          <w:szCs w:val="24"/>
          <w:rtl w:val="0"/>
        </w:rPr>
        <w:t xml:space="preserve">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ff0000"/>
          <w:sz w:val="24"/>
          <w:szCs w:val="24"/>
          <w:rtl w:val="0"/>
        </w:rPr>
        <w:t xml:space="preserve">veicoli di origine sconosciuta</w:t>
      </w:r>
      <w:r w:rsidDel="00000000" w:rsidR="00000000" w:rsidRPr="00000000">
        <w:rPr>
          <w:rFonts w:ascii="Comic Sans MS" w:cs="Comic Sans MS" w:eastAsia="Comic Sans MS" w:hAnsi="Comic Sans MS"/>
          <w:color w:val="ff0000"/>
          <w:sz w:val="24"/>
          <w:szCs w:val="24"/>
          <w:rtl w:val="0"/>
        </w:rPr>
        <w:t xml:space="preserve">”.</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SW effettuano il calcolo importi IRT basandosi sulla data di immatricolazione.</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nome e del cognome in seguito ad apposito decreto prefettizio;</w:t>
      </w:r>
    </w:p>
    <w:p w:rsidR="00000000" w:rsidDel="00000000" w:rsidP="00000000" w:rsidRDefault="00000000" w:rsidRPr="00000000" w14:paraId="000002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Rettifica dello stato civile a seguito di decreto emesso dal tribunale;</w:t>
      </w:r>
    </w:p>
    <w:p w:rsidR="00000000" w:rsidDel="00000000" w:rsidP="00000000" w:rsidRDefault="00000000" w:rsidRPr="00000000" w14:paraId="000002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in seguito ad adozione;</w:t>
      </w:r>
    </w:p>
    <w:p w:rsidR="00000000" w:rsidDel="00000000" w:rsidP="00000000" w:rsidRDefault="00000000" w:rsidRPr="00000000" w14:paraId="000002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284" w:firstLine="19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esibizione dell'originale al pubblico ufficiale e conformità sulla copia dichiarata dallo stesso</w:t>
      </w:r>
    </w:p>
    <w:p w:rsidR="00000000" w:rsidDel="00000000" w:rsidP="00000000" w:rsidRDefault="00000000" w:rsidRPr="00000000" w14:paraId="000002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284" w:firstLine="19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rilascio copia conforme all'originale da parte del soggetto che conserva l'originale</w:t>
      </w:r>
    </w:p>
    <w:p w:rsidR="00000000" w:rsidDel="00000000" w:rsidP="00000000" w:rsidRDefault="00000000" w:rsidRPr="00000000" w14:paraId="000002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284" w:firstLine="1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ds di atto notorio.</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esclusi dall’applicazione dell’IPT gli acquisti di veicoli da parte della stessa Provincia. Per il corretto calcolo degli importi selezionare il flag "P" nel campo disabile presente nella maschera degli importi delle procedure telematiche. Tale flag non è al momento gestito per le formalità di competenza Ogliastra (alle quali si applica il Regolamento IPT di Nuoro).</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284" w:hanging="6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36"/>
          <w:szCs w:val="36"/>
          <w:u w:val="singl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a tutela del venditore: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recupero dell’imposta nei confronti del soggetto acquirente verrà effettuato direttamente dalla Provincia.</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1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80" w:right="284" w:firstLine="696.000000000000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Atto pubblico</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77"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Scrittura privata</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80" w:right="284" w:firstLine="696.000000000000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Tutela del venditore.- Sentenza Giudiziaria</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80" w:right="284" w:firstLine="696.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Atto Amministrativo</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Alessandria, Arezzo,Oristano, Pisa, Rovigo, Torino , Verbano Cusio Ossola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subordinato il beneficio a condizione che il venditore, rimasto intestatario al PRA, alleghi al trasferimento di proprietà copia del documento d’identità o di riconoscimento del soggetto acquirente.</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stata prevista, invece, dalla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ex art.2688 c.c.: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nel caso in cui il secondo soggetto acquirente abbia i requisiti per godere dell’esenzione IPT, debba comunque essere versata l’IPT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Modico valore: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Gestione formalità respinte: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Rimborso IPT: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pgSz w:h="11906" w:w="16838" w:orient="landscape"/>
      <w:pgMar w:bottom="1134" w:top="1134" w:left="1134" w:right="1417"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mic Sans MS"/>
  <w:font w:name="Calibri"/>
  <w:font w:name="MS Gothic"/>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3">
    <w:lvl w:ilvl="0">
      <w:start w:val="1"/>
      <w:numFmt w:val="bullet"/>
      <w:lvlText w:val="●"/>
      <w:lvlJc w:val="left"/>
      <w:pPr>
        <w:ind w:left="2421"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3141" w:hanging="360"/>
      </w:pPr>
      <w:rPr>
        <w:rFonts w:ascii="Courier New" w:cs="Courier New" w:eastAsia="Courier New" w:hAnsi="Courier New"/>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301" w:hanging="360"/>
      </w:pPr>
      <w:rPr>
        <w:rFonts w:ascii="Courier New" w:cs="Courier New" w:eastAsia="Courier New" w:hAnsi="Courier New"/>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461" w:hanging="360"/>
      </w:pPr>
      <w:rPr>
        <w:rFonts w:ascii="Courier New" w:cs="Courier New" w:eastAsia="Courier New" w:hAnsi="Courier New"/>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color w:val="000000"/>
        <w:sz w:val="24"/>
        <w:szCs w:val="24"/>
        <w:vertAlign w:val="baseline"/>
      </w:rPr>
    </w:lvl>
  </w:abstractNum>
  <w:abstractNum w:abstractNumId="4">
    <w:lvl w:ilvl="0">
      <w:start w:val="16080"/>
      <w:numFmt w:val="decimal"/>
      <w:lvlText w:val="%1"/>
      <w:lvlJc w:val="left"/>
      <w:pPr>
        <w:ind w:left="0" w:firstLine="0"/>
      </w:pPr>
      <w:rPr>
        <w:sz w:val="24"/>
        <w:szCs w:val="24"/>
        <w:vertAlign w:val="baseline"/>
      </w:rPr>
    </w:lvl>
    <w:lvl w:ilvl="1">
      <w:start w:val="57216"/>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5">
    <w:lvl w:ilvl="0">
      <w:start w:val="1"/>
      <w:numFmt w:val="decimal"/>
      <w:lvlText w:val="%1)"/>
      <w:lvlJc w:val="left"/>
      <w:pPr>
        <w:ind w:left="2310" w:hanging="390"/>
      </w:pPr>
      <w:rPr>
        <w:rFonts w:ascii="Comic Sans MS" w:cs="Comic Sans MS" w:eastAsia="Comic Sans MS" w:hAnsi="Comic Sans MS"/>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rFonts w:ascii="Comic Sans MS" w:cs="Comic Sans MS" w:eastAsia="Comic Sans MS" w:hAnsi="Comic Sans MS"/>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color w:val="000000"/>
        <w:sz w:val="24"/>
        <w:szCs w:val="24"/>
        <w:vertAlign w:val="baseline"/>
      </w:rPr>
    </w:lvl>
    <w:lvl w:ilvl="2">
      <w:start w:val="1"/>
      <w:numFmt w:val="decimal"/>
      <w:lvlText w:val="%3."/>
      <w:lvlJc w:val="left"/>
      <w:pPr>
        <w:ind w:left="2160" w:hanging="360"/>
      </w:pPr>
      <w:rPr>
        <w:rFonts w:ascii="Comic Sans MS" w:cs="Comic Sans MS" w:eastAsia="Comic Sans MS" w:hAnsi="Comic Sans MS"/>
        <w:color w:val="000000"/>
        <w:sz w:val="24"/>
        <w:szCs w:val="24"/>
        <w:vertAlign w:val="baseline"/>
      </w:rPr>
    </w:lvl>
    <w:lvl w:ilvl="3">
      <w:start w:val="1"/>
      <w:numFmt w:val="decimal"/>
      <w:lvlText w:val="%4."/>
      <w:lvlJc w:val="left"/>
      <w:pPr>
        <w:ind w:left="2880" w:hanging="360"/>
      </w:pPr>
      <w:rPr>
        <w:rFonts w:ascii="Comic Sans MS" w:cs="Comic Sans MS" w:eastAsia="Comic Sans MS" w:hAnsi="Comic Sans MS"/>
        <w:color w:val="000000"/>
        <w:sz w:val="24"/>
        <w:szCs w:val="24"/>
        <w:vertAlign w:val="baseline"/>
      </w:rPr>
    </w:lvl>
    <w:lvl w:ilvl="4">
      <w:start w:val="1"/>
      <w:numFmt w:val="decimal"/>
      <w:lvlText w:val="%5."/>
      <w:lvlJc w:val="left"/>
      <w:pPr>
        <w:ind w:left="3600" w:hanging="360"/>
      </w:pPr>
      <w:rPr>
        <w:rFonts w:ascii="Comic Sans MS" w:cs="Comic Sans MS" w:eastAsia="Comic Sans MS" w:hAnsi="Comic Sans MS"/>
        <w:color w:val="000000"/>
        <w:sz w:val="24"/>
        <w:szCs w:val="24"/>
        <w:vertAlign w:val="baseline"/>
      </w:rPr>
    </w:lvl>
    <w:lvl w:ilvl="5">
      <w:start w:val="1"/>
      <w:numFmt w:val="decimal"/>
      <w:lvlText w:val="%6."/>
      <w:lvlJc w:val="left"/>
      <w:pPr>
        <w:ind w:left="4320" w:hanging="360"/>
      </w:pPr>
      <w:rPr>
        <w:rFonts w:ascii="Comic Sans MS" w:cs="Comic Sans MS" w:eastAsia="Comic Sans MS" w:hAnsi="Comic Sans MS"/>
        <w:color w:val="000000"/>
        <w:sz w:val="24"/>
        <w:szCs w:val="24"/>
        <w:vertAlign w:val="baseline"/>
      </w:rPr>
    </w:lvl>
    <w:lvl w:ilvl="6">
      <w:start w:val="1"/>
      <w:numFmt w:val="decimal"/>
      <w:lvlText w:val="%7."/>
      <w:lvlJc w:val="left"/>
      <w:pPr>
        <w:ind w:left="5040" w:hanging="360"/>
      </w:pPr>
      <w:rPr>
        <w:rFonts w:ascii="Comic Sans MS" w:cs="Comic Sans MS" w:eastAsia="Comic Sans MS" w:hAnsi="Comic Sans MS"/>
        <w:color w:val="000000"/>
        <w:sz w:val="24"/>
        <w:szCs w:val="24"/>
        <w:vertAlign w:val="baseline"/>
      </w:rPr>
    </w:lvl>
    <w:lvl w:ilvl="7">
      <w:start w:val="1"/>
      <w:numFmt w:val="decimal"/>
      <w:lvlText w:val="%8."/>
      <w:lvlJc w:val="left"/>
      <w:pPr>
        <w:ind w:left="5760" w:hanging="360"/>
      </w:pPr>
      <w:rPr>
        <w:rFonts w:ascii="Comic Sans MS" w:cs="Comic Sans MS" w:eastAsia="Comic Sans MS" w:hAnsi="Comic Sans MS"/>
        <w:color w:val="000000"/>
        <w:sz w:val="24"/>
        <w:szCs w:val="24"/>
        <w:vertAlign w:val="baseline"/>
      </w:rPr>
    </w:lvl>
    <w:lvl w:ilvl="8">
      <w:start w:val="1"/>
      <w:numFmt w:val="decimal"/>
      <w:lvlText w:val="%9."/>
      <w:lvlJc w:val="left"/>
      <w:pPr>
        <w:ind w:left="6480" w:hanging="360"/>
      </w:pPr>
      <w:rPr>
        <w:rFonts w:ascii="Comic Sans MS" w:cs="Comic Sans MS" w:eastAsia="Comic Sans MS" w:hAnsi="Comic Sans MS"/>
        <w:color w:val="000000"/>
        <w:sz w:val="24"/>
        <w:szCs w:val="24"/>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1">
    <w:lvl w:ilvl="0">
      <w:start w:val="1"/>
      <w:numFmt w:val="bullet"/>
      <w:lvlText w:val="●"/>
      <w:lvlJc w:val="left"/>
      <w:pPr>
        <w:ind w:left="75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470" w:hanging="360"/>
      </w:pPr>
      <w:rPr>
        <w:rFonts w:ascii="Courier New" w:cs="Courier New" w:eastAsia="Courier New" w:hAnsi="Courier New"/>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630" w:hanging="360"/>
      </w:pPr>
      <w:rPr>
        <w:rFonts w:ascii="Courier New" w:cs="Courier New" w:eastAsia="Courier New" w:hAnsi="Courier New"/>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5790" w:hanging="360"/>
      </w:pPr>
      <w:rPr>
        <w:rFonts w:ascii="Courier New" w:cs="Courier New" w:eastAsia="Courier New" w:hAnsi="Courier New"/>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color w:val="000000"/>
        <w:sz w:val="24"/>
        <w:szCs w:val="24"/>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3">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Courier New" w:cs="Courier New" w:eastAsia="Courier New" w:hAnsi="Courier New"/>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Courier New" w:cs="Courier New" w:eastAsia="Courier New" w:hAnsi="Courier New"/>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Courier New" w:cs="Courier New" w:eastAsia="Courier New" w:hAnsi="Courier New"/>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5">
    <w:lvl w:ilvl="0">
      <w:start w:val="9168"/>
      <w:numFmt w:val="decimal"/>
      <w:lvlText w:val="%1"/>
      <w:lvlJc w:val="left"/>
      <w:pPr>
        <w:ind w:left="0" w:firstLine="0"/>
      </w:pPr>
      <w:rPr>
        <w:sz w:val="24"/>
        <w:szCs w:val="24"/>
        <w:vertAlign w:val="baseline"/>
      </w:rPr>
    </w:lvl>
    <w:lvl w:ilvl="1">
      <w:start w:val="9216"/>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8">
    <w:lvl w:ilvl="0">
      <w:start w:val="1"/>
      <w:numFmt w:val="decimal"/>
      <w:lvlText w:val="%1."/>
      <w:lvlJc w:val="left"/>
      <w:pPr>
        <w:ind w:left="1004" w:hanging="360"/>
      </w:pPr>
      <w:rPr>
        <w:rFonts w:ascii="Comic Sans MS" w:cs="Comic Sans MS" w:eastAsia="Comic Sans MS" w:hAnsi="Comic Sans MS"/>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3."/>
      <w:lvlJc w:val="right"/>
      <w:pPr>
        <w:ind w:left="2444" w:hanging="180"/>
      </w:pPr>
      <w:rPr>
        <w:sz w:val="24"/>
        <w:szCs w:val="24"/>
        <w:vertAlign w:val="baseline"/>
      </w:rPr>
    </w:lvl>
    <w:lvl w:ilvl="3">
      <w:start w:val="1"/>
      <w:numFmt w:val="decimal"/>
      <w:lvlText w:val="%4."/>
      <w:lvlJc w:val="left"/>
      <w:pPr>
        <w:ind w:left="3164" w:hanging="360"/>
      </w:pPr>
      <w:rPr>
        <w:sz w:val="24"/>
        <w:szCs w:val="24"/>
        <w:vertAlign w:val="baseline"/>
      </w:rPr>
    </w:lvl>
    <w:lvl w:ilvl="4">
      <w:start w:val="1"/>
      <w:numFmt w:val="lowerLetter"/>
      <w:lvlText w:val="%5."/>
      <w:lvlJc w:val="left"/>
      <w:pPr>
        <w:ind w:left="3884" w:hanging="360"/>
      </w:pPr>
      <w:rPr>
        <w:sz w:val="24"/>
        <w:szCs w:val="24"/>
        <w:vertAlign w:val="baseline"/>
      </w:rPr>
    </w:lvl>
    <w:lvl w:ilvl="5">
      <w:start w:val="1"/>
      <w:numFmt w:val="lowerRoman"/>
      <w:lvlText w:val="%6."/>
      <w:lvlJc w:val="right"/>
      <w:pPr>
        <w:ind w:left="4604" w:hanging="180"/>
      </w:pPr>
      <w:rPr>
        <w:sz w:val="24"/>
        <w:szCs w:val="24"/>
        <w:vertAlign w:val="baseline"/>
      </w:rPr>
    </w:lvl>
    <w:lvl w:ilvl="6">
      <w:start w:val="1"/>
      <w:numFmt w:val="decimal"/>
      <w:lvlText w:val="%7."/>
      <w:lvlJc w:val="left"/>
      <w:pPr>
        <w:ind w:left="5324" w:hanging="360"/>
      </w:pPr>
      <w:rPr>
        <w:sz w:val="24"/>
        <w:szCs w:val="24"/>
        <w:vertAlign w:val="baseline"/>
      </w:rPr>
    </w:lvl>
    <w:lvl w:ilvl="7">
      <w:start w:val="1"/>
      <w:numFmt w:val="lowerLetter"/>
      <w:lvlText w:val="%8."/>
      <w:lvlJc w:val="left"/>
      <w:pPr>
        <w:ind w:left="6044" w:hanging="360"/>
      </w:pPr>
      <w:rPr>
        <w:sz w:val="24"/>
        <w:szCs w:val="24"/>
        <w:vertAlign w:val="baseline"/>
      </w:rPr>
    </w:lvl>
    <w:lvl w:ilvl="8">
      <w:start w:val="1"/>
      <w:numFmt w:val="lowerRoman"/>
      <w:lvlText w:val="%9."/>
      <w:lvlJc w:val="right"/>
      <w:pPr>
        <w:ind w:left="6764" w:hanging="180"/>
      </w:pPr>
      <w:rPr>
        <w:sz w:val="24"/>
        <w:szCs w:val="24"/>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0">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Courier New" w:cs="Courier New" w:eastAsia="Courier New" w:hAnsi="Courier New"/>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Courier New" w:cs="Courier New" w:eastAsia="Courier New" w:hAnsi="Courier New"/>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Courier New" w:cs="Courier New" w:eastAsia="Courier New" w:hAnsi="Courier New"/>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Courier New" w:cs="Courier New" w:eastAsia="Courier New" w:hAnsi="Courier New"/>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Courier New" w:cs="Courier New" w:eastAsia="Courier New" w:hAnsi="Courier New"/>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Titolo1">
    <w:name w:val="Titolo 1"/>
    <w:basedOn w:val="normal"/>
    <w:next w:val="normal"/>
    <w:autoRedefine w:val="0"/>
    <w:hidden w:val="0"/>
    <w:qFormat w:val="0"/>
    <w:pPr>
      <w:keepNext w:val="1"/>
      <w:keepLines w:val="1"/>
      <w:numPr>
        <w:ilvl w:val="0"/>
        <w:numId w:val="1"/>
      </w:numPr>
      <w:suppressAutoHyphens w:val="0"/>
      <w:spacing w:after="120" w:before="480" w:line="1" w:lineRule="atLeast"/>
      <w:ind w:leftChars="-1" w:rightChars="0" w:firstLineChars="-1"/>
      <w:textDirection w:val="btLr"/>
      <w:textAlignment w:val="top"/>
      <w:outlineLvl w:val="0"/>
    </w:pPr>
    <w:rPr>
      <w:rFonts w:ascii="Calibri" w:cs="Calibri" w:eastAsia="Calibri" w:hAnsi="Calibri"/>
      <w:b w:val="1"/>
      <w:w w:val="100"/>
      <w:position w:val="-1"/>
      <w:sz w:val="48"/>
      <w:szCs w:val="48"/>
      <w:effect w:val="none"/>
      <w:vertAlign w:val="baseline"/>
      <w:cs w:val="0"/>
      <w:em w:val="none"/>
      <w:lang w:bidi="ar-SA" w:eastAsia="ar-SA" w:val="it-IT"/>
    </w:rPr>
  </w:style>
  <w:style w:type="paragraph" w:styleId="Titolo2">
    <w:name w:val="Titolo 2"/>
    <w:basedOn w:val="normal"/>
    <w:next w:val="normal"/>
    <w:autoRedefine w:val="0"/>
    <w:hidden w:val="0"/>
    <w:qFormat w:val="0"/>
    <w:pPr>
      <w:keepNext w:val="1"/>
      <w:keepLines w:val="1"/>
      <w:numPr>
        <w:ilvl w:val="1"/>
        <w:numId w:val="1"/>
      </w:numPr>
      <w:suppressAutoHyphens w:val="0"/>
      <w:spacing w:after="80" w:before="360" w:line="1" w:lineRule="atLeast"/>
      <w:ind w:leftChars="-1" w:rightChars="0" w:firstLineChars="-1"/>
      <w:textDirection w:val="btLr"/>
      <w:textAlignment w:val="top"/>
      <w:outlineLvl w:val="1"/>
    </w:pPr>
    <w:rPr>
      <w:rFonts w:ascii="Calibri" w:cs="Calibri" w:eastAsia="Calibri" w:hAnsi="Calibri"/>
      <w:b w:val="1"/>
      <w:w w:val="100"/>
      <w:position w:val="-1"/>
      <w:sz w:val="36"/>
      <w:szCs w:val="36"/>
      <w:effect w:val="none"/>
      <w:vertAlign w:val="baseline"/>
      <w:cs w:val="0"/>
      <w:em w:val="none"/>
      <w:lang w:bidi="ar-SA" w:eastAsia="ar-SA" w:val="it-IT"/>
    </w:rPr>
  </w:style>
  <w:style w:type="paragraph" w:styleId="Titolo3">
    <w:name w:val="Titolo 3"/>
    <w:basedOn w:val="normal"/>
    <w:next w:val="normal"/>
    <w:autoRedefine w:val="0"/>
    <w:hidden w:val="0"/>
    <w:qFormat w:val="0"/>
    <w:pPr>
      <w:keepNext w:val="1"/>
      <w:keepLines w:val="1"/>
      <w:numPr>
        <w:ilvl w:val="2"/>
        <w:numId w:val="1"/>
      </w:numPr>
      <w:suppressAutoHyphens w:val="0"/>
      <w:spacing w:after="80" w:before="280" w:line="1" w:lineRule="atLeast"/>
      <w:ind w:leftChars="-1" w:rightChars="0" w:firstLineChars="-1"/>
      <w:textDirection w:val="btLr"/>
      <w:textAlignment w:val="top"/>
      <w:outlineLvl w:val="2"/>
    </w:pPr>
    <w:rPr>
      <w:rFonts w:ascii="Calibri" w:cs="Calibri" w:eastAsia="Calibri" w:hAnsi="Calibri"/>
      <w:b w:val="1"/>
      <w:w w:val="100"/>
      <w:position w:val="-1"/>
      <w:sz w:val="28"/>
      <w:szCs w:val="28"/>
      <w:effect w:val="none"/>
      <w:vertAlign w:val="baseline"/>
      <w:cs w:val="0"/>
      <w:em w:val="none"/>
      <w:lang w:bidi="ar-SA" w:eastAsia="ar-SA" w:val="it-IT"/>
    </w:rPr>
  </w:style>
  <w:style w:type="paragraph" w:styleId="Titolo4">
    <w:name w:val="Titolo 4"/>
    <w:basedOn w:val="normal"/>
    <w:next w:val="normal"/>
    <w:autoRedefine w:val="0"/>
    <w:hidden w:val="0"/>
    <w:qFormat w:val="0"/>
    <w:pPr>
      <w:keepNext w:val="1"/>
      <w:keepLines w:val="1"/>
      <w:numPr>
        <w:ilvl w:val="3"/>
        <w:numId w:val="1"/>
      </w:numPr>
      <w:suppressAutoHyphens w:val="0"/>
      <w:spacing w:after="40" w:before="240" w:line="1" w:lineRule="atLeast"/>
      <w:ind w:leftChars="-1" w:rightChars="0" w:firstLineChars="-1"/>
      <w:textDirection w:val="btLr"/>
      <w:textAlignment w:val="top"/>
      <w:outlineLvl w:val="3"/>
    </w:pPr>
    <w:rPr>
      <w:rFonts w:ascii="Calibri" w:cs="Calibri" w:eastAsia="Calibri" w:hAnsi="Calibri"/>
      <w:b w:val="1"/>
      <w:w w:val="100"/>
      <w:position w:val="-1"/>
      <w:sz w:val="24"/>
      <w:szCs w:val="24"/>
      <w:effect w:val="none"/>
      <w:vertAlign w:val="baseline"/>
      <w:cs w:val="0"/>
      <w:em w:val="none"/>
      <w:lang w:bidi="ar-SA" w:eastAsia="ar-SA" w:val="it-IT"/>
    </w:rPr>
  </w:style>
  <w:style w:type="paragraph" w:styleId="Titolo5">
    <w:name w:val="Titolo 5"/>
    <w:basedOn w:val="normal"/>
    <w:next w:val="normal"/>
    <w:autoRedefine w:val="0"/>
    <w:hidden w:val="0"/>
    <w:qFormat w:val="0"/>
    <w:pPr>
      <w:keepNext w:val="1"/>
      <w:keepLines w:val="1"/>
      <w:numPr>
        <w:ilvl w:val="4"/>
        <w:numId w:val="1"/>
      </w:numPr>
      <w:suppressAutoHyphens w:val="0"/>
      <w:spacing w:after="40" w:before="220" w:line="1" w:lineRule="atLeast"/>
      <w:ind w:leftChars="-1" w:rightChars="0" w:firstLineChars="-1"/>
      <w:textDirection w:val="btLr"/>
      <w:textAlignment w:val="top"/>
      <w:outlineLvl w:val="4"/>
    </w:pPr>
    <w:rPr>
      <w:rFonts w:ascii="Calibri" w:cs="Calibri" w:eastAsia="Calibri" w:hAnsi="Calibri"/>
      <w:b w:val="1"/>
      <w:w w:val="100"/>
      <w:position w:val="-1"/>
      <w:sz w:val="22"/>
      <w:szCs w:val="22"/>
      <w:effect w:val="none"/>
      <w:vertAlign w:val="baseline"/>
      <w:cs w:val="0"/>
      <w:em w:val="none"/>
      <w:lang w:bidi="ar-SA" w:eastAsia="ar-SA" w:val="it-IT"/>
    </w:rPr>
  </w:style>
  <w:style w:type="paragraph" w:styleId="Titolo6">
    <w:name w:val="Titolo 6"/>
    <w:basedOn w:val="normal"/>
    <w:next w:val="normal"/>
    <w:autoRedefine w:val="0"/>
    <w:hidden w:val="0"/>
    <w:qFormat w:val="0"/>
    <w:pPr>
      <w:keepNext w:val="1"/>
      <w:keepLines w:val="1"/>
      <w:numPr>
        <w:ilvl w:val="5"/>
        <w:numId w:val="1"/>
      </w:numPr>
      <w:suppressAutoHyphens w:val="0"/>
      <w:spacing w:after="40" w:before="200" w:line="1" w:lineRule="atLeast"/>
      <w:ind w:leftChars="-1" w:rightChars="0" w:firstLineChars="-1"/>
      <w:textDirection w:val="btLr"/>
      <w:textAlignment w:val="top"/>
      <w:outlineLvl w:val="5"/>
    </w:pPr>
    <w:rPr>
      <w:rFonts w:ascii="Calibri" w:cs="Calibri" w:eastAsia="Calibri" w:hAnsi="Calibri"/>
      <w:b w:val="1"/>
      <w:w w:val="100"/>
      <w:position w:val="-1"/>
      <w:sz w:val="20"/>
      <w:szCs w:val="20"/>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z1">
    <w:name w:val="WW8Num1z1"/>
    <w:next w:val="WW8Num1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2z0">
    <w:name w:val="WW8Num2z0"/>
    <w:next w:val="WW8Num2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2z1">
    <w:name w:val="WW8Num2z1"/>
    <w:next w:val="WW8Num2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3z0">
    <w:name w:val="WW8Num3z0"/>
    <w:next w:val="WW8Num3z0"/>
    <w:autoRedefine w:val="0"/>
    <w:hidden w:val="0"/>
    <w:qFormat w:val="0"/>
    <w:rPr>
      <w:w w:val="100"/>
      <w:position w:val="0"/>
      <w:sz w:val="24"/>
      <w:effect w:val="none"/>
      <w:vertAlign w:val="baseline"/>
      <w:cs w:val="0"/>
      <w:em w:val="none"/>
      <w:lang/>
    </w:rPr>
  </w:style>
  <w:style w:type="character" w:styleId="WW8Num3z1">
    <w:name w:val="WW8Num3z1"/>
    <w:next w:val="WW8Num3z1"/>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4z0">
    <w:name w:val="WW8Num4z0"/>
    <w:next w:val="WW8Num4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4z1">
    <w:name w:val="WW8Num4z1"/>
    <w:next w:val="WW8Num4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6z1">
    <w:name w:val="WW8Num6z1"/>
    <w:next w:val="WW8Num6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7z0">
    <w:name w:val="WW8Num7z0"/>
    <w:next w:val="WW8Num7z0"/>
    <w:autoRedefine w:val="0"/>
    <w:hidden w:val="0"/>
    <w:qFormat w:val="0"/>
    <w:rPr>
      <w:rFonts w:ascii="Symbol" w:cs="Symbol" w:eastAsia="Comic Sans MS" w:hAnsi="Symbol" w:hint="default"/>
      <w:w w:val="100"/>
      <w:position w:val="-1"/>
      <w:sz w:val="24"/>
      <w:szCs w:val="24"/>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0">
    <w:name w:val="WW8Num8z0"/>
    <w:next w:val="WW8Num8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8z1">
    <w:name w:val="WW8Num8z1"/>
    <w:next w:val="WW8Num8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9z0">
    <w:name w:val="WW8Num9z0"/>
    <w:next w:val="WW8Num9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9z1">
    <w:name w:val="WW8Num9z1"/>
    <w:next w:val="WW8Num9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10z0">
    <w:name w:val="WW8Num10z0"/>
    <w:next w:val="WW8Num10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2z0">
    <w:name w:val="WW8Num12z0"/>
    <w:next w:val="WW8Num12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12z1">
    <w:name w:val="WW8Num12z1"/>
    <w:next w:val="WW8Num12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13z0">
    <w:name w:val="WW8Num13z0"/>
    <w:next w:val="WW8Num13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5z1">
    <w:name w:val="WW8Num15z1"/>
    <w:next w:val="WW8Num15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16z0">
    <w:name w:val="WW8Num16z0"/>
    <w:next w:val="WW8Num16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6z1">
    <w:name w:val="WW8Num16z1"/>
    <w:next w:val="WW8Num16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17z0">
    <w:name w:val="WW8Num17z0"/>
    <w:next w:val="WW8Num17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7z1">
    <w:name w:val="WW8Num17z1"/>
    <w:next w:val="WW8Num17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18z0">
    <w:name w:val="WW8Num18z0"/>
    <w:next w:val="WW8Num18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hint="default"/>
      <w:w w:val="100"/>
      <w:position w:val="-1"/>
      <w:effect w:val="none"/>
      <w:vertAlign w:val="baseline"/>
      <w:cs w:val="0"/>
      <w:em w:val="none"/>
      <w:lang/>
    </w:rPr>
  </w:style>
  <w:style w:type="character" w:styleId="WW8Num19z0">
    <w:name w:val="WW8Num19z0"/>
    <w:next w:val="WW8Num19z0"/>
    <w:autoRedefine w:val="0"/>
    <w:hidden w:val="0"/>
    <w:qFormat w:val="0"/>
    <w:rPr>
      <w:rFonts w:ascii="Comic Sans MS" w:cs="Comic Sans MS" w:eastAsia="Comic Sans MS" w:hAnsi="Comic Sans MS"/>
      <w:color w:val="000000"/>
      <w:w w:val="100"/>
      <w:position w:val="0"/>
      <w:sz w:val="28"/>
      <w:szCs w:val="28"/>
      <w:u w:val="none"/>
      <w:effect w:val="none"/>
      <w:vertAlign w:val="baseline"/>
      <w:cs w:val="0"/>
      <w:em w:val="none"/>
      <w:lang/>
    </w:rPr>
  </w:style>
  <w:style w:type="character" w:styleId="WW8Num19z1">
    <w:name w:val="WW8Num19z1"/>
    <w:next w:val="WW8Num19z1"/>
    <w:autoRedefine w:val="0"/>
    <w:hidden w:val="0"/>
    <w:qFormat w:val="0"/>
    <w:rPr>
      <w:w w:val="100"/>
      <w:position w:val="0"/>
      <w:sz w:val="24"/>
      <w:effect w:val="none"/>
      <w:vertAlign w:val="baseline"/>
      <w:cs w:val="0"/>
      <w:em w:val="none"/>
      <w:lang/>
    </w:rPr>
  </w:style>
  <w:style w:type="character" w:styleId="WW8Num20z0">
    <w:name w:val="WW8Num20z0"/>
    <w:next w:val="WW8Num20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20z1">
    <w:name w:val="WW8Num20z1"/>
    <w:next w:val="WW8Num20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21z0">
    <w:name w:val="WW8Num21z0"/>
    <w:next w:val="WW8Num21z0"/>
    <w:autoRedefine w:val="0"/>
    <w:hidden w:val="0"/>
    <w:qFormat w:val="0"/>
    <w:rPr>
      <w:rFonts w:ascii="Wingdings" w:cs="Wingdings" w:hAnsi="Wingdings" w:hint="default"/>
      <w:w w:val="100"/>
      <w:position w:val="0"/>
      <w:sz w:val="24"/>
      <w:effect w:val="none"/>
      <w:vertAlign w:val="baseline"/>
      <w:cs w:val="0"/>
      <w:em w:val="none"/>
      <w:lang/>
    </w:rPr>
  </w:style>
  <w:style w:type="character" w:styleId="WW8Num21z1">
    <w:name w:val="WW8Num21z1"/>
    <w:next w:val="WW8Num21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21z2">
    <w:name w:val="WW8Num21z2"/>
    <w:next w:val="WW8Num21z2"/>
    <w:autoRedefine w:val="0"/>
    <w:hidden w:val="0"/>
    <w:qFormat w:val="0"/>
    <w:rPr>
      <w:rFonts w:ascii="Noto Sans Symbols" w:cs="Noto Sans Symbols" w:eastAsia="Noto Sans Symbols" w:hAnsi="Noto Sans Symbols"/>
      <w:w w:val="100"/>
      <w:position w:val="0"/>
      <w:sz w:val="24"/>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Wingdings" w:cs="Wingdings" w:hAnsi="Wingdings"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3">
    <w:name w:val="WW8Num23z3"/>
    <w:next w:val="WW8Num23z3"/>
    <w:autoRedefine w:val="0"/>
    <w:hidden w:val="0"/>
    <w:qFormat w:val="0"/>
    <w:rPr>
      <w:rFonts w:ascii="Symbol" w:cs="Symbol" w:hAnsi="Symbol" w:hint="default"/>
      <w:w w:val="100"/>
      <w:position w:val="-1"/>
      <w:effect w:val="none"/>
      <w:vertAlign w:val="baseline"/>
      <w:cs w:val="0"/>
      <w:em w:val="none"/>
      <w:lang/>
    </w:rPr>
  </w:style>
  <w:style w:type="character" w:styleId="WW8Num24z0">
    <w:name w:val="WW8Num24z0"/>
    <w:next w:val="WW8Num24z0"/>
    <w:autoRedefine w:val="0"/>
    <w:hidden w:val="0"/>
    <w:qFormat w:val="0"/>
    <w:rPr>
      <w:w w:val="100"/>
      <w:position w:val="0"/>
      <w:sz w:val="24"/>
      <w:effect w:val="none"/>
      <w:vertAlign w:val="baseline"/>
      <w:cs w:val="0"/>
      <w:em w:val="none"/>
      <w:lang/>
    </w:rPr>
  </w:style>
  <w:style w:type="character" w:styleId="WW8Num24z1">
    <w:name w:val="WW8Num24z1"/>
    <w:next w:val="WW8Num24z1"/>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25z0">
    <w:name w:val="WW8Num25z0"/>
    <w:next w:val="WW8Num25z0"/>
    <w:autoRedefine w:val="0"/>
    <w:hidden w:val="0"/>
    <w:qFormat w:val="0"/>
    <w:rPr>
      <w:rFonts w:ascii="Comic Sans MS" w:cs="Comic Sans MS" w:eastAsia="Comic Sans MS" w:hAnsi="Comic Sans MS" w:hint="default"/>
      <w:color w:val="000000"/>
      <w:w w:val="100"/>
      <w:position w:val="-1"/>
      <w:sz w:val="24"/>
      <w:szCs w:val="24"/>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26z1">
    <w:name w:val="WW8Num26z1"/>
    <w:next w:val="WW8Num26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27z0">
    <w:name w:val="WW8Num27z0"/>
    <w:next w:val="WW8Num27z0"/>
    <w:autoRedefine w:val="0"/>
    <w:hidden w:val="0"/>
    <w:qFormat w:val="0"/>
    <w:rPr>
      <w:rFonts w:ascii="Symbol" w:cs="Symbol" w:hAnsi="Symbol" w:hint="default"/>
      <w:w w:val="100"/>
      <w:position w:val="-1"/>
      <w:sz w:val="20"/>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sz w:val="20"/>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sz w:val="20"/>
      <w:effect w:val="none"/>
      <w:vertAlign w:val="baseline"/>
      <w:cs w:val="0"/>
      <w:em w:val="none"/>
      <w:lang/>
    </w:rPr>
  </w:style>
  <w:style w:type="character" w:styleId="WW8Num28z0">
    <w:name w:val="WW8Num28z0"/>
    <w:next w:val="WW8Num28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28z1">
    <w:name w:val="WW8Num28z1"/>
    <w:next w:val="WW8Num28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29z0">
    <w:name w:val="WW8Num29z0"/>
    <w:next w:val="WW8Num29z0"/>
    <w:autoRedefine w:val="0"/>
    <w:hidden w:val="0"/>
    <w:qFormat w:val="0"/>
    <w:rPr>
      <w:w w:val="100"/>
      <w:position w:val="0"/>
      <w:sz w:val="24"/>
      <w:effect w:val="none"/>
      <w:vertAlign w:val="baseline"/>
      <w:cs w:val="0"/>
      <w:em w:val="none"/>
      <w:lang/>
    </w:rPr>
  </w:style>
  <w:style w:type="character" w:styleId="WW8Num30z0">
    <w:name w:val="WW8Num30z0"/>
    <w:next w:val="WW8Num30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30z1">
    <w:name w:val="WW8Num30z1"/>
    <w:next w:val="WW8Num30z1"/>
    <w:autoRedefine w:val="0"/>
    <w:hidden w:val="0"/>
    <w:qFormat w:val="0"/>
    <w:rPr>
      <w:rFonts w:ascii="Comic Sans MS" w:cs="Comic Sans MS" w:eastAsia="Comic Sans MS" w:hAnsi="Comic Sans MS"/>
      <w:color w:val="000000"/>
      <w:w w:val="100"/>
      <w:position w:val="0"/>
      <w:sz w:val="24"/>
      <w:szCs w:val="24"/>
      <w:effect w:val="none"/>
      <w:vertAlign w:val="baseline"/>
      <w:cs w:val="0"/>
      <w:em w:val="none"/>
      <w:lang/>
    </w:rPr>
  </w:style>
  <w:style w:type="character" w:styleId="WW8Num31z0">
    <w:name w:val="WW8Num31z0"/>
    <w:next w:val="WW8Num31z0"/>
    <w:autoRedefine w:val="0"/>
    <w:hidden w:val="0"/>
    <w:qFormat w:val="0"/>
    <w:rPr>
      <w:rFonts w:ascii="Comic Sans MS" w:cs="Comic Sans MS" w:eastAsia="Comic Sans MS" w:hAnsi="Comic Sans MS"/>
      <w:color w:val="000000"/>
      <w:w w:val="100"/>
      <w:position w:val="0"/>
      <w:sz w:val="24"/>
      <w:szCs w:val="24"/>
      <w:effect w:val="none"/>
      <w:vertAlign w:val="baseline"/>
      <w:cs w:val="0"/>
      <w:em w:val="none"/>
      <w:lang/>
    </w:rPr>
  </w:style>
  <w:style w:type="character" w:styleId="WW8Num32z0">
    <w:name w:val="WW8Num32z0"/>
    <w:next w:val="WW8Num32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2z3">
    <w:name w:val="WW8Num32z3"/>
    <w:next w:val="WW8Num32z3"/>
    <w:autoRedefine w:val="0"/>
    <w:hidden w:val="0"/>
    <w:qFormat w:val="0"/>
    <w:rPr>
      <w:rFonts w:ascii="Symbol" w:cs="Symbol" w:hAnsi="Symbol" w:hint="default"/>
      <w:w w:val="100"/>
      <w:position w:val="-1"/>
      <w:effect w:val="none"/>
      <w:vertAlign w:val="baseline"/>
      <w:cs w:val="0"/>
      <w:em w:val="none"/>
      <w:lang/>
    </w:rPr>
  </w:style>
  <w:style w:type="character" w:styleId="WW8Num33z0">
    <w:name w:val="WW8Num33z0"/>
    <w:next w:val="WW8Num33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33z1">
    <w:name w:val="WW8Num33z1"/>
    <w:next w:val="WW8Num33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rpodeltestoCarattere">
    <w:name w:val="Corpo del testo Carattere"/>
    <w:next w:val="CorpodeltestoCarattere"/>
    <w:autoRedefine w:val="0"/>
    <w:hidden w:val="0"/>
    <w:qFormat w:val="0"/>
    <w:rPr>
      <w:rFonts w:ascii="Times New Roman" w:cs="Lucida Sans" w:eastAsia="SimSun" w:hAnsi="Times New Roman"/>
      <w:w w:val="100"/>
      <w:kern w:val="1"/>
      <w:position w:val="-1"/>
      <w:sz w:val="24"/>
      <w:szCs w:val="24"/>
      <w:effect w:val="none"/>
      <w:vertAlign w:val="baseline"/>
      <w:cs w:val="0"/>
      <w:em w:val="none"/>
      <w:lang w:bidi="hi-IN" w:eastAsia="hi-IN"/>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563c1"/>
      <w:w w:val="100"/>
      <w:position w:val="-1"/>
      <w:u w:val="single"/>
      <w:effect w:val="none"/>
      <w:vertAlign w:val="baseline"/>
      <w:cs w:val="0"/>
      <w:em w:val="none"/>
      <w:lang/>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hi-IN" w:val="und"/>
    </w:rPr>
  </w:style>
  <w:style w:type="paragraph" w:styleId="Elenco">
    <w:name w:val="Elenco"/>
    <w:basedOn w:val="Corpodel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hi-IN" w:val="und"/>
    </w:rPr>
  </w:style>
  <w:style w:type="paragraph" w:styleId="Didascalia1">
    <w:name w:val="Didascalia1"/>
    <w:basedOn w:val="Normale"/>
    <w:next w:val="Didascali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Calibri" w:cs="Lucida Sans" w:eastAsia="Calibri" w:hAnsi="Calibri"/>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Lucida Sans" w:eastAsia="Calibri" w:hAnsi="Calibri"/>
      <w:w w:val="100"/>
      <w:position w:val="-1"/>
      <w:effect w:val="none"/>
      <w:vertAlign w:val="baseline"/>
      <w:cs w:val="0"/>
      <w:em w:val="none"/>
      <w:lang w:bidi="ar-SA" w:eastAsia="ar-SA" w:val="it-IT"/>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Titolo">
    <w:name w:val="Titolo"/>
    <w:basedOn w:val="normal"/>
    <w:next w:val="normal"/>
    <w:autoRedefine w:val="0"/>
    <w:hidden w:val="0"/>
    <w:qFormat w:val="0"/>
    <w:pPr>
      <w:keepNext w:val="1"/>
      <w:keepLines w:val="1"/>
      <w:suppressAutoHyphens w:val="0"/>
      <w:spacing w:after="120" w:before="480" w:line="1" w:lineRule="atLeast"/>
      <w:ind w:leftChars="-1" w:rightChars="0" w:firstLineChars="-1"/>
      <w:textDirection w:val="btLr"/>
      <w:textAlignment w:val="top"/>
      <w:outlineLvl w:val="0"/>
    </w:pPr>
    <w:rPr>
      <w:rFonts w:ascii="Calibri" w:cs="Calibri" w:eastAsia="Calibri" w:hAnsi="Calibri"/>
      <w:b w:val="1"/>
      <w:w w:val="100"/>
      <w:position w:val="-1"/>
      <w:sz w:val="72"/>
      <w:szCs w:val="72"/>
      <w:effect w:val="none"/>
      <w:vertAlign w:val="baseline"/>
      <w:cs w:val="0"/>
      <w:em w:val="none"/>
      <w:lang w:bidi="ar-SA" w:eastAsia="ar-SA" w:val="it-IT"/>
    </w:rPr>
  </w:style>
  <w:style w:type="paragraph" w:styleId="Sottotitolo">
    <w:name w:val="Sottotitolo"/>
    <w:basedOn w:val="normal"/>
    <w:next w:val="normal"/>
    <w:autoRedefine w:val="0"/>
    <w:hidden w:val="0"/>
    <w:qFormat w:val="0"/>
    <w:pPr>
      <w:keepNext w:val="1"/>
      <w:keepLines w:val="1"/>
      <w:suppressAutoHyphens w:val="0"/>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0"/>
      <w:spacing w:after="119" w:before="28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Calibri" w:cs="Calibri" w:eastAsia="Calibri" w:hAnsi="Calibri"/>
      <w:b w:val="1"/>
      <w:bCs w:val="1"/>
      <w:w w:val="100"/>
      <w:position w:val="-1"/>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5.0" w:type="dxa"/>
        <w:bottom w:w="0.0" w:type="dxa"/>
        <w:right w:w="7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p.aci.it/firenze/IMG/pdf/Dichiarazione_sostitutiva_per_autocarri-6.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fzths1Oi56cjEiNRMPoMIh7LQ==">AMUW2mVo8ZgFNfPkCJgTMyFAwnmUcQtX7V1bk6748iPkrEzqoPp4RQzbd5/1rL8az2tHjss3Di4iWWLKO+vZKSEEij34/1zd+7EBNFzGWGRlFfR3ob3iDGX7dmNzwZjr3d8DxsDlFSGDfie1Xj+KixRlLG++LcifJ+nENak1dcQGmiZHeoJTwCMmgE0O+gA3asBdGwAF8ezo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2023-01-04T13:19:00Z</dcterms:created>
  <dc:creator>551368</dc:creator>
</cp:coreProperties>
</file>

<file path=docProps/custom.xml><?xml version="1.0" encoding="utf-8"?>
<Properties xmlns="http://schemas.openxmlformats.org/officeDocument/2006/custom-properties" xmlns:vt="http://schemas.openxmlformats.org/officeDocument/2006/docPropsVTypes"/>
</file>