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42.0" w:type="dxa"/>
        <w:jc w:val="left"/>
        <w:tblLayout w:type="fixed"/>
        <w:tblLook w:val="0000"/>
      </w:tblPr>
      <w:tblGrid>
        <w:gridCol w:w="14342"/>
        <w:tblGridChange w:id="0">
          <w:tblGrid>
            <w:gridCol w:w="14342"/>
          </w:tblGrid>
        </w:tblGridChange>
      </w:tblGrid>
      <w:tr>
        <w:trPr>
          <w:cantSplit w:val="0"/>
          <w:trHeight w:val="6546" w:hRule="atLeast"/>
          <w:tblHeader w:val="0"/>
        </w:trPr>
        <w:tc>
          <w:tcPr>
            <w:tcBorders>
              <w:top w:color="000000" w:space="0" w:sz="4" w:val="single"/>
              <w:left w:color="000000" w:space="0" w:sz="4" w:val="single"/>
              <w:bottom w:color="000000" w:space="0" w:sz="4" w:val="single"/>
              <w:right w:color="000000" w:space="0" w:sz="4" w:val="single"/>
            </w:tcBorders>
            <w:shd w:fill="ccffcc" w:val="cle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Comic Sans MS" w:cs="Comic Sans MS" w:eastAsia="Comic Sans MS" w:hAnsi="Comic Sans MS"/>
                <w:b w:val="0"/>
                <w:i w:val="0"/>
                <w:smallCaps w:val="0"/>
                <w:strike w:val="0"/>
                <w:color w:val="000000"/>
                <w:sz w:val="52"/>
                <w:szCs w:val="5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AGEVOLAZIONI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IPT DELIBERATE DALLE AMMINISTRAZIONI PROVINCIALI</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SCHEDA DI SINTESI INFORMAZIONI PER LA GESTIONE IPT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83" w:right="284" w:hanging="368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2"/>
                <w:szCs w:val="52"/>
                <w:u w:val="none"/>
                <w:shd w:fill="auto" w:val="clear"/>
                <w:vertAlign w:val="baseline"/>
                <w:rtl w:val="0"/>
              </w:rPr>
              <w:t xml:space="preserve">AGGIORNAMENTO n.217</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cura della Direzione Gestione e sviluppo del PRA</w:t>
        <w:tab/>
        <w:tab/>
        <w:tab/>
        <w:tab/>
        <w:tab/>
        <w:tab/>
        <w:tab/>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fiscalità automobilistica e servizi agli Enti territoriali                                                                                                                             Gennaio  2023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04" w:right="284"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FORMALITA’ A FAVORE DEI PORTATORI DI HANDICAP</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 tal proposito si richiama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hanno comunque deciso di introdurre dei tempi di tolleranza riconoscendo le agevolazioni anche nel caso in cui il disabile risulti avere venduto (inteso come formazione atto di vendita) o radiato il primo veicolo entro un determinato periodo di tempo (prevedendo anche termini diversi).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Poiché il PRA effettua il controllo e la riscossione dell'IPT alla presentazione delle formalità - quindi sulla base delle risultanze degli Archivi PRA in quel momento o sulla base della presenza della copia dell’atto di vendita del primo veicolo all’interno del fascicolo, ai sensi della L.C. sopra richiamata - senza poter prevedere se verrà formato un atto o cancellato dal PRA un veicolo entro termini di tolleranza stabiliti dalla singola Provincia, tali casistiche possono essere gestite solo con istanza di rimborso.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Tutto ciò premesso, per eventuali rimborsi gestiti da PRA diversi da quello di competenza, qualora si presentassero casi dubbi, gli Operatori PRA sono tenuti a consultare sempre l’Ufficio di competenza prima di dare esito all’istanza di rimborso.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hanging="72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1.1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una riduzione al 10% dell’IPT per le formalità  a favore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tutti i disabili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non inclusi nella normativa nazionale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il corretto calcolo degli importi bisogna inserire nel campo disabile il carattere “L” previsto dalle procedure telematiche).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b w:val="0"/>
          <w:i w:val="0"/>
          <w:smallCaps w:val="0"/>
          <w:strike w:val="0"/>
          <w:color w:val="ff0000"/>
          <w:sz w:val="17"/>
          <w:szCs w:val="17"/>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12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con decorrenza 01.01.2014, il pagamento dell’IPT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ridotta al 50%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sugli atti di natura traslativa o dichiarativa aventi ad oggetto veicoli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 adattati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intestati a soggetti affetti da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handicap grave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capacità di deambulazione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sensibilmente ridotta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come riconosciuto dalla Commissione medica competente, oppure intestati ai familiari cui tali soggetti risultino fiscalmente a carico. Per il corretto calcolo degli importi selezionare il flag “Z” nel campo disabile.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280" w:line="240" w:lineRule="auto"/>
        <w:ind w:left="0" w:right="284" w:firstLine="15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Isernia, Sassari e 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Valle d’Aosta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titolare di patente speciale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sia altresì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intestatario del veicolo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prescritti dalle commissioni mediche locali.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1.2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Roma, Pistoia,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Cosenza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Benevento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 w:line="240" w:lineRule="auto"/>
        <w:ind w:left="720" w:right="28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dichiarazione che al momento della richiesta di trascrizione in esenzione per il nuovo veicolo non sia stato rinvenuto e/o restituito quello oggetto di furto (per tale dichiarazione sostitutiva utilizzare il modello di DS con testo libero).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360" w:right="28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precisa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 e Cuneo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928" w:right="395"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ala veicolo rubato;</w:t>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928" w:right="395"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928" w:right="395"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Cremona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usufruire nuovamente delle agevolazioni, il soggetto disabile dovrà esibire al PRA la denuncia in originale presentata alle autorità competenti.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Barletta-Andria-Trani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furto o appropriazione indebita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Lecco, 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Lodi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rinvenimento del veicolo rubato e conseguente annotazione di rientro in possesso, la parte dovrà versare l’importo IPT relativo all’ulteriore esenzione di cui ha beneficiato.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282"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1.3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IN FAVORE DI DISABILI “SENSORIALI”</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01/01/2019): per entrambe le Province in parola le agevolazioni sono previste con riferimento ai soggetti non vedenti o sordomuti assoluti, così come individuati dall’art.1c.2 della L. 68/1999 e dalla Circolare dell’Agenzia delle Entrate n. 72/2001.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Altre Province, invece, hanno previsto agevolazioni a favore dei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secondo il dettaglio riportato nella seguente tabella nella quale è indicato anche il carattere da inserire nel campo disabile per il corretto calcolo degli importi da parte delle procedure telematiche: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127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4452.0" w:type="dxa"/>
        <w:jc w:val="left"/>
        <w:tblInd w:w="-82.0" w:type="dxa"/>
        <w:tblLayout w:type="fixed"/>
        <w:tblLook w:val="0000"/>
      </w:tblPr>
      <w:tblGrid>
        <w:gridCol w:w="9610"/>
        <w:gridCol w:w="2050"/>
        <w:gridCol w:w="2792"/>
        <w:tblGridChange w:id="0">
          <w:tblGrid>
            <w:gridCol w:w="9610"/>
            <w:gridCol w:w="2050"/>
            <w:gridCol w:w="2792"/>
          </w:tblGrid>
        </w:tblGridChange>
      </w:tblGrid>
      <w:tr>
        <w:trPr>
          <w:cantSplit w:val="0"/>
          <w:trHeight w:val="1240" w:hRule="atLeast"/>
          <w:tblHeader w:val="0"/>
        </w:trPr>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PROVINCE</w:t>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FLAG PER IL CALCOLO DEGLI IMPORTI</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Asti, Bergamo, Brescia, Como, Chieti, Cremona, Lecco, Lodi, Massa Carrara, Milano, Monza Brianza,Novara, Nuoro, Padova, Pavia, Piacenza,  Reggio Calabria, Rieti, Rimini, Salerno,</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Siena, Varese, Verbano Cusio Ossola,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Y</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Mantova,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H</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Bari, Belluno, La Spezia, Parma, Perugia, Terni, Teramo,</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Trapani </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Friuli Venezia Giulia,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Genova, Grosseto,  Imperia, Messina,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Pisa, Potenza, Rovigo, Sondrio,</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Verona, Vicenza,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Forlì Cesena,Pescara, Treviso,</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Ravenna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Ancona, Aosta, Catania,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Cuneo, Fermo, Frosinone, Latina, Macerata, Pesaro Urbino, Pistoia, Siracusa</w:t>
            </w:r>
            <w:r w:rsidDel="00000000" w:rsidR="00000000" w:rsidRPr="00000000">
              <w:rPr>
                <w:rFonts w:ascii="Comic Sans MS" w:cs="Comic Sans MS" w:eastAsia="Comic Sans MS" w:hAnsi="Comic Sans MS"/>
                <w:b w:val="1"/>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X</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Foggia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Riduzione al 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Benevento, Bolzano, Sassari, Trento.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esenzione 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Q</w:t>
            </w: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(per le Province contrassegnate con * le procedure per il calcolo degli importi non sono ancora state rilasciate)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 eccezione a tale principio l’agevolazione stabilita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tale agevolazione prevista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Belluno, Bolzano, Cagliari, 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Cuneo, Fermo, Foggia, Forlì-Cesena, Frosinone, Genova,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Perugia, Pesaro Urbino, Pescara, Pisa, Pistoia, Potenza, Ravenna, Reggio Calabria, Rieti, Rimini, Salerno, Sassari, Siena, Siracusa, Sud Sardegna, Terni, Teramo,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Varese, Verbano Cusio Ossola, Trapani, Treviso, Verona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le agevolazioni ai soggetti rientranti nei casi previsti dall’art.1 comma 2 della L.68/1999 e dalla circolare n.72 del 30/7/2001 dell’Agenzia delle Entrate, Direzione Centrale Normativa e Contenzioso;si evidenzia, 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nel caso in cui il disabile sensoriale risulti titolare di redditi propri superiori al limite vigente per essere considerati “ familiari fiscalmente a carico” ( vedasi DPR n.917 del 22 dicembre 1986), il veicolo deve essere obbligatoriamente intestato al disabile stesso, anche se sprovvisto di permesso di guida.</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e 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Massa Carrara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Mantova, Piacenza e 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701"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Infine si ritiene opportuno ricordare quali veicoli a motore possono essere oggetto degli atti di natura traslativa o dichiarativa per la cui trascrizione è possibile richiedere di usufruire delle suddette agevolazioni: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quest’ultimo punto si differenzia dalle altre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concesso le agevolazioni solo per le autovetture, senza alcuna limitazione nel caso di atti soggetti ad IVA e fino a 100 KW nel caso di atti non soggetti ad IVA.</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Pistoia e Verona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01/01/2008),</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Aosta e Parma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01/01/2009)</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30/03/2009),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al PRA a far data dal 01.06.2012)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per le formalità presentate dal 01.01.2014),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dal 01.01.2015),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dal 01.01.2016),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(01.01.2017)</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16.10.2017),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per poter accedere alle agevolazioni è necessario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formalità siano consecutive ed entrambe di propria competenza.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dal Sportelli degli Uffici periferici ACI.</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Milano, Pavia, Perugia, Reggio Calabria, Varese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7/12/2009),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Monza Brianza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01/01/2011),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01.01.2013)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20 febbraio 2022) hanno deliberato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acquisto di veicoli tra privati mortis</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causa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procedure applicative per il calcolo importi effettueranno – in modalità automatica - la corretta imputazione dell’Ipt dovuta a fronte dell’impostazione del campo “data apertura successione”.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con percentuale di maggiorazione al 30%.</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2009 , 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Pesaro-Urbino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in misura fissa nei seguenti casi:</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50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284" w:hanging="5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favore di tutti gli eredi (flag I) con contestuale trasferimento a uno o più eredi (flag J), in relazione a ciascuna formalità trascritta o annotata ;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presentate dal 01/01/2009:</w:t>
      </w:r>
    </w:p>
    <w:p w:rsidR="00000000" w:rsidDel="00000000" w:rsidP="00000000" w:rsidRDefault="00000000" w:rsidRPr="00000000" w14:paraId="000000B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1" w:right="286" w:hanging="56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B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1" w:right="286" w:hanging="56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B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701" w:right="286" w:hanging="56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invece,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fissa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comprensiva della maggiorazione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tutti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casi di trasferimento d’azienda da genitore a figli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mortis causa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condizione che uno degli eredi prosegua l’esercizio dell’attività d’impresa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valorizzare il campo “data apertura successione” e selezionare il flag “P” presente nel campo “Agevolazione disabile”.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2017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 gennaio 2019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dal 28 ottobre 2021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Cosenza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hanno previsto che, nel caso di </w:t>
      </w:r>
      <w:r w:rsidDel="00000000" w:rsidR="00000000" w:rsidRPr="00000000">
        <w:rPr>
          <w:rFonts w:ascii="Comic Sans MS" w:cs="Comic Sans MS" w:eastAsia="Comic Sans MS" w:hAnsi="Comic Sans MS"/>
          <w:b w:val="0"/>
          <w:i w:val="0"/>
          <w:smallCaps w:val="0"/>
          <w:strike w:val="0"/>
          <w:color w:val="000000"/>
          <w:sz w:val="24"/>
          <w:szCs w:val="24"/>
          <w:highlight w:val="white"/>
          <w:u w:val="single"/>
          <w:vertAlign w:val="baseline"/>
          <w:rtl w:val="0"/>
        </w:rPr>
        <w:t xml:space="preserve">contestuale presentazione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b w:val="0"/>
          <w:i w:val="0"/>
          <w:smallCaps w:val="0"/>
          <w:strike w:val="0"/>
          <w:color w:val="000000"/>
          <w:sz w:val="24"/>
          <w:szCs w:val="24"/>
          <w:highlight w:val="white"/>
          <w:u w:val="single"/>
          <w:vertAlign w:val="baseline"/>
          <w:rtl w:val="0"/>
        </w:rPr>
        <w:t xml:space="preserve">a uno degli eredi</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l’IPT venga applicata </w:t>
      </w:r>
      <w:r w:rsidDel="00000000" w:rsidR="00000000" w:rsidRPr="00000000">
        <w:rPr>
          <w:rFonts w:ascii="Comic Sans MS" w:cs="Comic Sans MS" w:eastAsia="Comic Sans MS" w:hAnsi="Comic Sans MS"/>
          <w:b w:val="0"/>
          <w:i w:val="0"/>
          <w:smallCaps w:val="0"/>
          <w:strike w:val="0"/>
          <w:color w:val="000000"/>
          <w:sz w:val="24"/>
          <w:szCs w:val="24"/>
          <w:highlight w:val="white"/>
          <w:u w:val="single"/>
          <w:vertAlign w:val="baseline"/>
          <w:rtl w:val="0"/>
        </w:rPr>
        <w:t xml:space="preserve">solo</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29 dicembre 2011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data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marzo 2012,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Applicazione dell’IPT fissa per ogni veicolo  per l’accettazione di eredità da parte dell’unico erede, per il corretto calcolo degli importi valorizzare il campo “data apertura successione”; </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 </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 presente nel campo agevolazione disabile, per il successivo trasferimento di proprietà, non contestuale, a favore dell’unico erede.</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284"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60" w:right="284" w:hanging="42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284" w:hanging="42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60" w:right="284"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93" w:right="286" w:hanging="283.999999999999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93" w:right="286" w:hanging="283.999999999999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90% (flag “A”) a favore di tutti gli eredi e IPT proporzionale sulla trascrizione a favore di un soggetto terzo che vuole intestarsi il veicolo (quindi, sulla seconda formalità non è prevista alcuna agevolazione).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6"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6"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6"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VEICOLI ECO COMPATIBILI</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Potenza, Ravenna 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favore abbia diritto a più agevolazioni, si applicherà quella a lui più vantaggiosa.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del 20% della tariffa IPT per le formalità di prima iscrizione aventi ad oggetto veicoli ad alimentazione, esclusivo o doppio, a gas metano o GPL e per i veicoli con alimentazione elettrica.</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ha previsto la riduzione del 20% dell’IPT (calcolata sempre tenendo conto della percentuale di maggiorazione in vigore) per i veicoli ad alimentazione elettrica, esclusiva o doppia, e per quelli a idrogeno.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ha previsto l’applicazione della tariffa base dell’IPT, quindi senza alcuna maggiorazione, per i veicoli ad alimentazione, esclusiva o doppia, elettrica, a gas metano, a GPL, a idrogeno.</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59"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Città Metropolitana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Napoli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SOCIETARI</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l’IPT in misura fissa  per le formalità di trascrizione di atti di fusione o scissione societaria, di conferimento di aziende o rami aziendali in società e conferimento di capitale in natura, cessione di aziende o rami aziendali.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 gennaio 2008 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Chieti, Cremona, Milano, Pavia, Perugia, Reggio Calabria e Varese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Frosinone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Rieti, Sassari. </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medesima agevolazione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Latina,</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Terni e 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01.01.2017 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01/01/2018,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a far data dal 01/01/2023,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fronte degli atti societari di cui al Nuovo regolamento, l’IPT fissa con percentuale di maggiorazione al 30%.</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6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01/04/2015),</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Sud Sardegna, 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Forlì 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Monza Brianza, Bari, 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Pavia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atti di scioglimento e messa in liquidazione di società e contestuale prosecuzione dell’attività sociale in forma di ditta individuale.</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3"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16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Atto pubblico</w:t>
      </w:r>
    </w:p>
    <w:p w:rsidR="00000000" w:rsidDel="00000000" w:rsidP="00000000" w:rsidRDefault="00000000" w:rsidRPr="00000000" w14:paraId="0000012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Scrittura privata</w:t>
      </w:r>
    </w:p>
    <w:p w:rsidR="00000000" w:rsidDel="00000000" w:rsidP="00000000" w:rsidRDefault="00000000" w:rsidRPr="00000000" w14:paraId="0000012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Atto societario.- Sentenza Giudiziaria</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985" w:right="284" w:hanging="39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 Atto Amministrativo</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4" w:firstLine="15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284" w:hanging="1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ESENZIONE A FAVORE DELLE IPAB</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Pescara, Ravenna, Reggio Calabria,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Sassari e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01/01/2010 dalla Provincia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Novara, Rovigo, Salerno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dalle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Cagliari e 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15/04/2011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Livorno,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 gennaio 2012, dalla Provincia di Isernia, dal 01.01.2015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01.01.2016 dalla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dalla Provincia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01.01.2017),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01.01.2019).</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2"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ONLUS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con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TERZO SETTORE</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284"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IPT per le formalità a favore degli enti del Terzo settore di cui al D.L. n.117 del 3 luglio 2017.</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1"/>
          <w:i w:val="0"/>
          <w:smallCaps w:val="0"/>
          <w:strike w:val="0"/>
          <w:color w:val="ff3333"/>
          <w:sz w:val="24"/>
          <w:szCs w:val="24"/>
          <w:u w:val="none"/>
          <w:shd w:fill="auto" w:val="clear"/>
          <w:vertAlign w:val="baseline"/>
          <w:rtl w:val="0"/>
        </w:rPr>
        <w:t xml:space="preserve">Pescara, Torino,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sono esentate dal pagamento dell’imposta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284" w:hanging="70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ONG:</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l’esenzione dell’IPT per le formalità a favore delle Organizzazioni non governative riconosciute idonee ai sensi della L.16/02/1987 n.49.</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1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4" w:hanging="14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CANCELLAZIONI DI IPOTECHE </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Cagliari,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Pisa,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Sassari, 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Vercelli,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l’esenzione IPT per la cancellazione di ipoteche legali o convenzionali (art.3 comma 13 bis D.L.185/2008 convertito nella L.2/2009) si applicano esclusivamente alle formalità relative ad ipoteche iscritte dal 29/01/2009.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effettuano un controllo automatico sulla data di iscrizione dell’ipoteca.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SOGGETTI AD IVA:</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78" w:firstLine="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900" w:right="284" w:hanging="6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4"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 atti soggetti ad IVA di competenza di tali Province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quindi più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necessario allegare alle formalità alcuna documentazione comprovante che l’atto sia soggetto ad IVA in quanto ciò non ha più ripercussioni di natura fiscale. Pertanto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6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AUTONOME:</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10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15" w:right="0" w:hanging="6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4" w:hanging="1496"/>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4" w:hanging="14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FATTURE ESENTI DA IVA</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Bolzano e Trento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l’IPT in misura proporzionale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trascrizioni relative ad operazioni esenti da IVA ai sensi dell’ art. 10, n. 27 quinquies del DPR 633/72.</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IPT PER VEICOLI “STORICI”.</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con il 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Tale autocertificazione, quindi,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Ciò estende la possibilità di godere delle agevolazioni in parola anche nel caso di veicoli che per le loro caratteristiche vengono considerati generalmente ad uso professionale (autocarri, veicoli ad uso speciale o trasporto specifico). Tali casistiche, tuttavia, potranno essere gestite solo dallo sportello dell’Ufficio periferico ACI.</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uso non professionale alle formalità aventi ad oggetto tutte le classi di veicoli escluso motocicli e motocarrozzette in quanto non sono da considerarsi ad uso professionale, pertanto la Provincia non ritiene necessario alcun controllo preventivo.</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ff333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ha stabilito</w:t>
      </w:r>
      <w:r w:rsidDel="00000000" w:rsidR="00000000" w:rsidRPr="00000000">
        <w:rPr>
          <w:rFonts w:ascii="Comic Sans MS" w:cs="Comic Sans MS" w:eastAsia="Comic Sans MS" w:hAnsi="Comic Sans MS"/>
          <w:b w:val="0"/>
          <w:i w:val="0"/>
          <w:smallCaps w:val="0"/>
          <w:strike w:val="0"/>
          <w:color w:val="ff3333"/>
          <w:sz w:val="24"/>
          <w:szCs w:val="24"/>
          <w:u w:val="none"/>
          <w:shd w:fill="auto" w:val="clear"/>
          <w:vertAlign w:val="baseline"/>
          <w:rtl w:val="0"/>
        </w:rPr>
        <w:t xml:space="preserve">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3333"/>
          <w:sz w:val="24"/>
          <w:szCs w:val="24"/>
          <w:u w:val="none"/>
          <w:shd w:fill="auto" w:val="clear"/>
          <w:vertAlign w:val="baseline"/>
          <w:rtl w:val="0"/>
        </w:rPr>
        <w:t xml:space="preserve">La Provincia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ff3333"/>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ff3333"/>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ff3333"/>
          <w:sz w:val="24"/>
          <w:szCs w:val="24"/>
          <w:u w:val="none"/>
          <w:shd w:fill="auto" w:val="clear"/>
          <w:vertAlign w:val="baseline"/>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Torino ha precisato che non possono essere riconosciute le agevolazioni in parola nel caso in cui la formalità venga effettuata a favore di una persona giuridica e che l’autocertificazione di uso non professionale deve essere presentata per tutti i veicoli ad eccezione dei motocicli. Eventuali casi particolari possono essere sottoposti direttamente all’Amministrazione Provinciale.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Pertanto, alla pratica con richiesta di agevolazione in favore di persona fisica si dovrà sempre allegare, per tutti i veicoli, la DS di uso non professionale.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 e Ascoli Piceno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28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formalità.</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253"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tale regola generale fa eccezione la Provincia autonoma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conseguenza, solo per le formalità di competenza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sarà valorizzabile il flag “V” presente nel campo esenzione. Inoltre la Provincia ha confermato anche l’esenzione IPT per tutti i motocicli, anche nel caso in cui siano siano ultratrentennali o ultraventennali di interesse storico e collezionistico.</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ALTRE CASISTICHE PARTICOLARI:</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1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0" w:right="28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284" w:firstLine="0"/>
        <w:jc w:val="both"/>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(sempre a far data dal 01 gennaio 2012),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dall’11/03/2019),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25/11/2019)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Pavia,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(dal 01/01/2021),</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non va pagata IPT in caso di acquisti di veicoli da parte della stessa Provincia; in tali casi, infatti, il soggetto attivo e passivo d’imposta coincidono. Per il corretto calcolo degli importi selezionare il flag "P" nel campo disabile presente nella maschera degli importi delle procedure telematiche.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284" w:firstLine="0"/>
        <w:jc w:val="both"/>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0" w:right="284"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 formalità di prima iscrizione al PRA di veicolo nuovo), hanno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82"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271" w:hanging="28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ad ACI che la concessione dell’agevolazione dell’IPT debba estendersi anche ai Trattori stradali destinati al traino di semirimorchi.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L’Amministrazione Provinciale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hyperlink r:id="rId7">
        <w:r w:rsidDel="00000000" w:rsidR="00000000" w:rsidRPr="00000000">
          <w:rPr>
            <w:rFonts w:ascii="Comic Sans MS" w:cs="Comic Sans MS" w:eastAsia="Comic Sans MS" w:hAnsi="Comic Sans MS"/>
            <w:b w:val="0"/>
            <w:i w:val="0"/>
            <w:smallCaps w:val="0"/>
            <w:strike w:val="0"/>
            <w:color w:val="0563c1"/>
            <w:sz w:val="24"/>
            <w:szCs w:val="24"/>
            <w:u w:val="single"/>
            <w:shd w:fill="auto" w:val="clear"/>
            <w:vertAlign w:val="baseline"/>
            <w:rtl w:val="0"/>
          </w:rPr>
          <w:t xml:space="preserve">http://www.up.aci.it/firenze/IMG/pdf/Dichiarazione_sostitutiva_per_autocarri-6.pdf</w:t>
        </w:r>
      </w:hyperlink>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limitatamente alle formalità di prima iscrizione di veicolo nuovo, ha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82"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 e a trattori stradali destinati al traino di semirimorchi.</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1" w:hanging="305.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53"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veicoli uso locazione senza conducente a favore di imprese esercenti i servizi di locazione senza conducente;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7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16/06/2014</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38"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sanitari e ambulanze acquistate da ASL e da altre Associazioni di pubblica assistenza diverse dalle Onlus;</w:t>
      </w:r>
    </w:p>
    <w:p w:rsidR="00000000" w:rsidDel="00000000" w:rsidP="00000000" w:rsidRDefault="00000000" w:rsidRPr="00000000" w14:paraId="000002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38"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Mezzi di trasporto pubblico acquistate dalle aziende di trasporto pubblico locale.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71" w:hanging="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far data dal 24 aprile 2013 (data immatricolazione/data atto), la riduzione a 1/3 (cioè al 10%) della sanzione IRT in caso di formalità tardive per le quali non è più possibile accedere al ravvedimento operoso:</w:t>
      </w:r>
    </w:p>
    <w:p w:rsidR="00000000" w:rsidDel="00000000" w:rsidP="00000000" w:rsidRDefault="00000000" w:rsidRPr="00000000" w14:paraId="000002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27"/>
        </w:tabs>
        <w:spacing w:after="0" w:before="0" w:line="240" w:lineRule="auto"/>
        <w:ind w:left="2127" w:right="284" w:hanging="70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oltre 1 anno di tardività;</w:t>
      </w:r>
    </w:p>
    <w:p w:rsidR="00000000" w:rsidDel="00000000" w:rsidP="00000000" w:rsidRDefault="00000000" w:rsidRPr="00000000" w14:paraId="000002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27"/>
        </w:tabs>
        <w:spacing w:after="0" w:before="0" w:line="240" w:lineRule="auto"/>
        <w:ind w:left="2127" w:right="284" w:hanging="70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sempre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Valle d’Aosta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Le procedure SW effettuano il calcolo importi IRT basandosi sulla data di immatricolazione.</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nome e del cognome in seguito ad apposito decreto prefettizio;</w:t>
      </w:r>
    </w:p>
    <w:p w:rsidR="00000000" w:rsidDel="00000000" w:rsidP="00000000" w:rsidRDefault="00000000" w:rsidRPr="00000000" w14:paraId="000002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Rettifica dello stato civile a seguito di decreto emesso dal tribunale;</w:t>
      </w:r>
    </w:p>
    <w:p w:rsidR="00000000" w:rsidDel="00000000" w:rsidP="00000000" w:rsidRDefault="00000000" w:rsidRPr="00000000" w14:paraId="000002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in seguito ad adozione;</w:t>
      </w:r>
    </w:p>
    <w:p w:rsidR="00000000" w:rsidDel="00000000" w:rsidP="00000000" w:rsidRDefault="00000000" w:rsidRPr="00000000" w14:paraId="000002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76" w:right="2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284" w:firstLine="19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esibizione dell'originale al pubblico ufficiale e conformità sulla copia dichiarata dallo stesso</w:t>
      </w:r>
    </w:p>
    <w:p w:rsidR="00000000" w:rsidDel="00000000" w:rsidP="00000000" w:rsidRDefault="00000000" w:rsidRPr="00000000" w14:paraId="0000021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284" w:firstLine="19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rilascio copia conforme all'originale da parte del soggetto che conserva l'originale</w:t>
      </w:r>
    </w:p>
    <w:p w:rsidR="00000000" w:rsidDel="00000000" w:rsidP="00000000" w:rsidRDefault="00000000" w:rsidRPr="00000000" w14:paraId="000002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284" w:firstLine="1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ds di atto notorio.</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esclusi dall’applicazione dell’IPT gli acquisti di veicoli da parte della stessa Provincia. Per il corretto calcolo degli importi selezionare il flag "P" nel campo disabile presente nella maschera degli importi delle procedure telematiche. Tale flag non è al momento gestito per le formalità di competenza Ogliastra (alle quali si applica il Regolamento IPT di Nuoro).</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284" w:hanging="6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36"/>
          <w:szCs w:val="36"/>
          <w:u w:val="singl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271"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a tutela del venditore: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recupero dell’imposta nei confronti del soggetto acquirente verrà effettuato direttamente dalla Provincia.</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1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80" w:right="284" w:firstLine="696.000000000000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Atto pubblico</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77"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Scrittura privata</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80" w:right="284" w:firstLine="696.000000000000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Tutela del venditore.- Sentenza Giudiziaria</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80" w:right="284" w:firstLine="696.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Atto Amministrativo</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2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Alessandria, Arezzo,Oristano, Pisa, Rovigo, Torino , Verbano Cusio Ossola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subordinato il beneficio a condizione che il venditore, rimasto intestatario al PRA, alleghi al trasferimento di proprietà copia del documento d’identità o di riconoscimento del soggetto acquirente.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stata prevista, invece, dalla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ex art.2688 c.c.: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nel caso in cui il secondo soggetto acquirente abbia i requisiti per godere dell’esenzione IPT, debba comunque essere versata l’IPT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Modico valore: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hanging="1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Gestione formalità respinte: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27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Rimborso IPT: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pgSz w:h="11906" w:w="16838" w:orient="landscape"/>
      <w:pgMar w:bottom="1134" w:top="1134" w:left="1134" w:right="1417"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mic Sans MS"/>
  <w:font w:name="Calibri"/>
  <w:font w:name="MS Gothic"/>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168"/>
      <w:numFmt w:val="decimal"/>
      <w:lvlText w:val="%1"/>
      <w:lvlJc w:val="left"/>
      <w:pPr>
        <w:ind w:left="0" w:firstLine="0"/>
      </w:pPr>
      <w:rPr>
        <w:sz w:val="24"/>
        <w:szCs w:val="24"/>
        <w:vertAlign w:val="baseline"/>
      </w:rPr>
    </w:lvl>
    <w:lvl w:ilvl="1">
      <w:start w:val="9216"/>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6">
    <w:lvl w:ilvl="0">
      <w:start w:val="1"/>
      <w:numFmt w:val="bullet"/>
      <w:lvlText w:val="●"/>
      <w:lvlJc w:val="left"/>
      <w:pPr>
        <w:ind w:left="2421"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3141" w:hanging="360"/>
      </w:pPr>
      <w:rPr>
        <w:rFonts w:ascii="Courier New" w:cs="Courier New" w:eastAsia="Courier New" w:hAnsi="Courier New"/>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301" w:hanging="360"/>
      </w:pPr>
      <w:rPr>
        <w:rFonts w:ascii="Courier New" w:cs="Courier New" w:eastAsia="Courier New" w:hAnsi="Courier New"/>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461" w:hanging="360"/>
      </w:pPr>
      <w:rPr>
        <w:rFonts w:ascii="Courier New" w:cs="Courier New" w:eastAsia="Courier New" w:hAnsi="Courier New"/>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color w:val="000000"/>
        <w:sz w:val="24"/>
        <w:szCs w:val="24"/>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0">
    <w:lvl w:ilvl="0">
      <w:start w:val="1"/>
      <w:numFmt w:val="decimal"/>
      <w:lvlText w:val="%1."/>
      <w:lvlJc w:val="left"/>
      <w:pPr>
        <w:ind w:left="720" w:hanging="360"/>
      </w:pPr>
      <w:rPr>
        <w:rFonts w:ascii="Comic Sans MS" w:cs="Comic Sans MS" w:eastAsia="Comic Sans MS" w:hAnsi="Comic Sans MS"/>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color w:val="000000"/>
        <w:sz w:val="24"/>
        <w:szCs w:val="24"/>
        <w:vertAlign w:val="baseline"/>
      </w:rPr>
    </w:lvl>
    <w:lvl w:ilvl="2">
      <w:start w:val="1"/>
      <w:numFmt w:val="decimal"/>
      <w:lvlText w:val="%3."/>
      <w:lvlJc w:val="left"/>
      <w:pPr>
        <w:ind w:left="2160" w:hanging="360"/>
      </w:pPr>
      <w:rPr>
        <w:rFonts w:ascii="Comic Sans MS" w:cs="Comic Sans MS" w:eastAsia="Comic Sans MS" w:hAnsi="Comic Sans MS"/>
        <w:color w:val="000000"/>
        <w:sz w:val="24"/>
        <w:szCs w:val="24"/>
        <w:vertAlign w:val="baseline"/>
      </w:rPr>
    </w:lvl>
    <w:lvl w:ilvl="3">
      <w:start w:val="1"/>
      <w:numFmt w:val="decimal"/>
      <w:lvlText w:val="%4."/>
      <w:lvlJc w:val="left"/>
      <w:pPr>
        <w:ind w:left="2880" w:hanging="360"/>
      </w:pPr>
      <w:rPr>
        <w:rFonts w:ascii="Comic Sans MS" w:cs="Comic Sans MS" w:eastAsia="Comic Sans MS" w:hAnsi="Comic Sans MS"/>
        <w:color w:val="000000"/>
        <w:sz w:val="24"/>
        <w:szCs w:val="24"/>
        <w:vertAlign w:val="baseline"/>
      </w:rPr>
    </w:lvl>
    <w:lvl w:ilvl="4">
      <w:start w:val="1"/>
      <w:numFmt w:val="decimal"/>
      <w:lvlText w:val="%5."/>
      <w:lvlJc w:val="left"/>
      <w:pPr>
        <w:ind w:left="3600" w:hanging="360"/>
      </w:pPr>
      <w:rPr>
        <w:rFonts w:ascii="Comic Sans MS" w:cs="Comic Sans MS" w:eastAsia="Comic Sans MS" w:hAnsi="Comic Sans MS"/>
        <w:color w:val="000000"/>
        <w:sz w:val="24"/>
        <w:szCs w:val="24"/>
        <w:vertAlign w:val="baseline"/>
      </w:rPr>
    </w:lvl>
    <w:lvl w:ilvl="5">
      <w:start w:val="1"/>
      <w:numFmt w:val="decimal"/>
      <w:lvlText w:val="%6."/>
      <w:lvlJc w:val="left"/>
      <w:pPr>
        <w:ind w:left="4320" w:hanging="360"/>
      </w:pPr>
      <w:rPr>
        <w:rFonts w:ascii="Comic Sans MS" w:cs="Comic Sans MS" w:eastAsia="Comic Sans MS" w:hAnsi="Comic Sans MS"/>
        <w:color w:val="000000"/>
        <w:sz w:val="24"/>
        <w:szCs w:val="24"/>
        <w:vertAlign w:val="baseline"/>
      </w:rPr>
    </w:lvl>
    <w:lvl w:ilvl="6">
      <w:start w:val="1"/>
      <w:numFmt w:val="decimal"/>
      <w:lvlText w:val="%7."/>
      <w:lvlJc w:val="left"/>
      <w:pPr>
        <w:ind w:left="5040" w:hanging="360"/>
      </w:pPr>
      <w:rPr>
        <w:rFonts w:ascii="Comic Sans MS" w:cs="Comic Sans MS" w:eastAsia="Comic Sans MS" w:hAnsi="Comic Sans MS"/>
        <w:color w:val="000000"/>
        <w:sz w:val="24"/>
        <w:szCs w:val="24"/>
        <w:vertAlign w:val="baseline"/>
      </w:rPr>
    </w:lvl>
    <w:lvl w:ilvl="7">
      <w:start w:val="1"/>
      <w:numFmt w:val="decimal"/>
      <w:lvlText w:val="%8."/>
      <w:lvlJc w:val="left"/>
      <w:pPr>
        <w:ind w:left="5760" w:hanging="360"/>
      </w:pPr>
      <w:rPr>
        <w:rFonts w:ascii="Comic Sans MS" w:cs="Comic Sans MS" w:eastAsia="Comic Sans MS" w:hAnsi="Comic Sans MS"/>
        <w:color w:val="000000"/>
        <w:sz w:val="24"/>
        <w:szCs w:val="24"/>
        <w:vertAlign w:val="baseline"/>
      </w:rPr>
    </w:lvl>
    <w:lvl w:ilvl="8">
      <w:start w:val="1"/>
      <w:numFmt w:val="decimal"/>
      <w:lvlText w:val="%9."/>
      <w:lvlJc w:val="left"/>
      <w:pPr>
        <w:ind w:left="6480" w:hanging="360"/>
      </w:pPr>
      <w:rPr>
        <w:rFonts w:ascii="Comic Sans MS" w:cs="Comic Sans MS" w:eastAsia="Comic Sans MS" w:hAnsi="Comic Sans MS"/>
        <w:color w:val="000000"/>
        <w:sz w:val="24"/>
        <w:szCs w:val="24"/>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5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470" w:hanging="360"/>
      </w:pPr>
      <w:rPr>
        <w:rFonts w:ascii="Courier New" w:cs="Courier New" w:eastAsia="Courier New" w:hAnsi="Courier New"/>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630" w:hanging="360"/>
      </w:pPr>
      <w:rPr>
        <w:rFonts w:ascii="Courier New" w:cs="Courier New" w:eastAsia="Courier New" w:hAnsi="Courier New"/>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5790" w:hanging="360"/>
      </w:pPr>
      <w:rPr>
        <w:rFonts w:ascii="Courier New" w:cs="Courier New" w:eastAsia="Courier New" w:hAnsi="Courier New"/>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color w:val="000000"/>
        <w:sz w:val="24"/>
        <w:szCs w:val="24"/>
        <w:vertAlign w:val="baseline"/>
      </w:rPr>
    </w:lvl>
  </w:abstractNum>
  <w:abstractNum w:abstractNumId="13">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Courier New" w:cs="Courier New" w:eastAsia="Courier New" w:hAnsi="Courier New"/>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Courier New" w:cs="Courier New" w:eastAsia="Courier New" w:hAnsi="Courier New"/>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Courier New" w:cs="Courier New" w:eastAsia="Courier New" w:hAnsi="Courier New"/>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5">
    <w:lvl w:ilvl="0">
      <w:start w:val="1"/>
      <w:numFmt w:val="decimal"/>
      <w:lvlText w:val="%1."/>
      <w:lvlJc w:val="left"/>
      <w:pPr>
        <w:ind w:left="1004" w:hanging="360"/>
      </w:pPr>
      <w:rPr>
        <w:rFonts w:ascii="Comic Sans MS" w:cs="Comic Sans MS" w:eastAsia="Comic Sans MS" w:hAnsi="Comic Sans MS"/>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3."/>
      <w:lvlJc w:val="right"/>
      <w:pPr>
        <w:ind w:left="2444" w:hanging="180"/>
      </w:pPr>
      <w:rPr>
        <w:sz w:val="24"/>
        <w:szCs w:val="24"/>
        <w:vertAlign w:val="baseline"/>
      </w:rPr>
    </w:lvl>
    <w:lvl w:ilvl="3">
      <w:start w:val="1"/>
      <w:numFmt w:val="decimal"/>
      <w:lvlText w:val="%4."/>
      <w:lvlJc w:val="left"/>
      <w:pPr>
        <w:ind w:left="3164" w:hanging="360"/>
      </w:pPr>
      <w:rPr>
        <w:sz w:val="24"/>
        <w:szCs w:val="24"/>
        <w:vertAlign w:val="baseline"/>
      </w:rPr>
    </w:lvl>
    <w:lvl w:ilvl="4">
      <w:start w:val="1"/>
      <w:numFmt w:val="lowerLetter"/>
      <w:lvlText w:val="%5."/>
      <w:lvlJc w:val="left"/>
      <w:pPr>
        <w:ind w:left="3884" w:hanging="360"/>
      </w:pPr>
      <w:rPr>
        <w:sz w:val="24"/>
        <w:szCs w:val="24"/>
        <w:vertAlign w:val="baseline"/>
      </w:rPr>
    </w:lvl>
    <w:lvl w:ilvl="5">
      <w:start w:val="1"/>
      <w:numFmt w:val="lowerRoman"/>
      <w:lvlText w:val="%6."/>
      <w:lvlJc w:val="right"/>
      <w:pPr>
        <w:ind w:left="4604" w:hanging="180"/>
      </w:pPr>
      <w:rPr>
        <w:sz w:val="24"/>
        <w:szCs w:val="24"/>
        <w:vertAlign w:val="baseline"/>
      </w:rPr>
    </w:lvl>
    <w:lvl w:ilvl="6">
      <w:start w:val="1"/>
      <w:numFmt w:val="decimal"/>
      <w:lvlText w:val="%7."/>
      <w:lvlJc w:val="left"/>
      <w:pPr>
        <w:ind w:left="5324" w:hanging="360"/>
      </w:pPr>
      <w:rPr>
        <w:sz w:val="24"/>
        <w:szCs w:val="24"/>
        <w:vertAlign w:val="baseline"/>
      </w:rPr>
    </w:lvl>
    <w:lvl w:ilvl="7">
      <w:start w:val="1"/>
      <w:numFmt w:val="lowerLetter"/>
      <w:lvlText w:val="%8."/>
      <w:lvlJc w:val="left"/>
      <w:pPr>
        <w:ind w:left="6044" w:hanging="360"/>
      </w:pPr>
      <w:rPr>
        <w:sz w:val="24"/>
        <w:szCs w:val="24"/>
        <w:vertAlign w:val="baseline"/>
      </w:rPr>
    </w:lvl>
    <w:lvl w:ilvl="8">
      <w:start w:val="1"/>
      <w:numFmt w:val="lowerRoman"/>
      <w:lvlText w:val="%9."/>
      <w:lvlJc w:val="right"/>
      <w:pPr>
        <w:ind w:left="6764" w:hanging="180"/>
      </w:pPr>
      <w:rPr>
        <w:sz w:val="24"/>
        <w:szCs w:val="24"/>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7">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Courier New" w:cs="Courier New" w:eastAsia="Courier New" w:hAnsi="Courier New"/>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Courier New" w:cs="Courier New" w:eastAsia="Courier New" w:hAnsi="Courier New"/>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Courier New" w:cs="Courier New" w:eastAsia="Courier New" w:hAnsi="Courier New"/>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Courier New" w:cs="Courier New" w:eastAsia="Courier New" w:hAnsi="Courier New"/>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Courier New" w:cs="Courier New" w:eastAsia="Courier New" w:hAnsi="Courier New"/>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1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6080"/>
      <w:numFmt w:val="decimal"/>
      <w:lvlText w:val="%1"/>
      <w:lvlJc w:val="left"/>
      <w:pPr>
        <w:ind w:left="0" w:firstLine="0"/>
      </w:pPr>
      <w:rPr>
        <w:sz w:val="24"/>
        <w:szCs w:val="24"/>
        <w:vertAlign w:val="baseline"/>
      </w:rPr>
    </w:lvl>
    <w:lvl w:ilvl="1">
      <w:start w:val="57216"/>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1">
    <w:lvl w:ilvl="0">
      <w:start w:val="1"/>
      <w:numFmt w:val="decimal"/>
      <w:lvlText w:val="%1)"/>
      <w:lvlJc w:val="left"/>
      <w:pPr>
        <w:ind w:left="2310" w:hanging="390"/>
      </w:pPr>
      <w:rPr>
        <w:rFonts w:ascii="Comic Sans MS" w:cs="Comic Sans MS" w:eastAsia="Comic Sans MS" w:hAnsi="Comic Sans MS"/>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Courier New" w:cs="Courier New" w:eastAsia="Courier New" w:hAnsi="Courier New"/>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Courier New" w:cs="Courier New" w:eastAsia="Courier New" w:hAnsi="Courier New"/>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Courier New" w:cs="Courier New" w:eastAsia="Courier New" w:hAnsi="Courier New"/>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Titolo1">
    <w:name w:val="Titolo 1"/>
    <w:basedOn w:val="normal"/>
    <w:next w:val="normal"/>
    <w:autoRedefine w:val="0"/>
    <w:hidden w:val="0"/>
    <w:qFormat w:val="0"/>
    <w:pPr>
      <w:keepNext w:val="1"/>
      <w:keepLines w:val="1"/>
      <w:numPr>
        <w:ilvl w:val="0"/>
        <w:numId w:val="1"/>
      </w:numPr>
      <w:suppressAutoHyphens w:val="0"/>
      <w:spacing w:after="120" w:before="480" w:line="1" w:lineRule="atLeast"/>
      <w:ind w:leftChars="-1" w:rightChars="0" w:firstLineChars="-1"/>
      <w:textDirection w:val="btLr"/>
      <w:textAlignment w:val="top"/>
      <w:outlineLvl w:val="0"/>
    </w:pPr>
    <w:rPr>
      <w:rFonts w:ascii="Calibri" w:cs="Calibri" w:eastAsia="Calibri" w:hAnsi="Calibri"/>
      <w:b w:val="1"/>
      <w:w w:val="100"/>
      <w:position w:val="-1"/>
      <w:sz w:val="48"/>
      <w:szCs w:val="48"/>
      <w:effect w:val="none"/>
      <w:vertAlign w:val="baseline"/>
      <w:cs w:val="0"/>
      <w:em w:val="none"/>
      <w:lang w:bidi="ar-SA" w:eastAsia="ar-SA" w:val="it-IT"/>
    </w:rPr>
  </w:style>
  <w:style w:type="paragraph" w:styleId="Titolo2">
    <w:name w:val="Titolo 2"/>
    <w:basedOn w:val="normal"/>
    <w:next w:val="normal"/>
    <w:autoRedefine w:val="0"/>
    <w:hidden w:val="0"/>
    <w:qFormat w:val="0"/>
    <w:pPr>
      <w:keepNext w:val="1"/>
      <w:keepLines w:val="1"/>
      <w:numPr>
        <w:ilvl w:val="1"/>
        <w:numId w:val="1"/>
      </w:numPr>
      <w:suppressAutoHyphens w:val="0"/>
      <w:spacing w:after="80" w:before="360" w:line="1" w:lineRule="atLeast"/>
      <w:ind w:leftChars="-1" w:rightChars="0" w:firstLineChars="-1"/>
      <w:textDirection w:val="btLr"/>
      <w:textAlignment w:val="top"/>
      <w:outlineLvl w:val="1"/>
    </w:pPr>
    <w:rPr>
      <w:rFonts w:ascii="Calibri" w:cs="Calibri" w:eastAsia="Calibri" w:hAnsi="Calibri"/>
      <w:b w:val="1"/>
      <w:w w:val="100"/>
      <w:position w:val="-1"/>
      <w:sz w:val="36"/>
      <w:szCs w:val="36"/>
      <w:effect w:val="none"/>
      <w:vertAlign w:val="baseline"/>
      <w:cs w:val="0"/>
      <w:em w:val="none"/>
      <w:lang w:bidi="ar-SA" w:eastAsia="ar-SA" w:val="it-IT"/>
    </w:rPr>
  </w:style>
  <w:style w:type="paragraph" w:styleId="Titolo3">
    <w:name w:val="Titolo 3"/>
    <w:basedOn w:val="normal"/>
    <w:next w:val="normal"/>
    <w:autoRedefine w:val="0"/>
    <w:hidden w:val="0"/>
    <w:qFormat w:val="0"/>
    <w:pPr>
      <w:keepNext w:val="1"/>
      <w:keepLines w:val="1"/>
      <w:numPr>
        <w:ilvl w:val="2"/>
        <w:numId w:val="1"/>
      </w:numPr>
      <w:suppressAutoHyphens w:val="0"/>
      <w:spacing w:after="80" w:before="280" w:line="1" w:lineRule="atLeast"/>
      <w:ind w:leftChars="-1" w:rightChars="0" w:firstLineChars="-1"/>
      <w:textDirection w:val="btLr"/>
      <w:textAlignment w:val="top"/>
      <w:outlineLvl w:val="2"/>
    </w:pPr>
    <w:rPr>
      <w:rFonts w:ascii="Calibri" w:cs="Calibri" w:eastAsia="Calibri" w:hAnsi="Calibri"/>
      <w:b w:val="1"/>
      <w:w w:val="100"/>
      <w:position w:val="-1"/>
      <w:sz w:val="28"/>
      <w:szCs w:val="28"/>
      <w:effect w:val="none"/>
      <w:vertAlign w:val="baseline"/>
      <w:cs w:val="0"/>
      <w:em w:val="none"/>
      <w:lang w:bidi="ar-SA" w:eastAsia="ar-SA" w:val="it-IT"/>
    </w:rPr>
  </w:style>
  <w:style w:type="paragraph" w:styleId="Titolo4">
    <w:name w:val="Titolo 4"/>
    <w:basedOn w:val="normal"/>
    <w:next w:val="normal"/>
    <w:autoRedefine w:val="0"/>
    <w:hidden w:val="0"/>
    <w:qFormat w:val="0"/>
    <w:pPr>
      <w:keepNext w:val="1"/>
      <w:keepLines w:val="1"/>
      <w:numPr>
        <w:ilvl w:val="3"/>
        <w:numId w:val="1"/>
      </w:numPr>
      <w:suppressAutoHyphens w:val="0"/>
      <w:spacing w:after="40" w:before="240" w:line="1" w:lineRule="atLeast"/>
      <w:ind w:leftChars="-1" w:rightChars="0" w:firstLineChars="-1"/>
      <w:textDirection w:val="btLr"/>
      <w:textAlignment w:val="top"/>
      <w:outlineLvl w:val="3"/>
    </w:pPr>
    <w:rPr>
      <w:rFonts w:ascii="Calibri" w:cs="Calibri" w:eastAsia="Calibri" w:hAnsi="Calibri"/>
      <w:b w:val="1"/>
      <w:w w:val="100"/>
      <w:position w:val="-1"/>
      <w:sz w:val="24"/>
      <w:szCs w:val="24"/>
      <w:effect w:val="none"/>
      <w:vertAlign w:val="baseline"/>
      <w:cs w:val="0"/>
      <w:em w:val="none"/>
      <w:lang w:bidi="ar-SA" w:eastAsia="ar-SA" w:val="it-IT"/>
    </w:rPr>
  </w:style>
  <w:style w:type="paragraph" w:styleId="Titolo5">
    <w:name w:val="Titolo 5"/>
    <w:basedOn w:val="normal"/>
    <w:next w:val="normal"/>
    <w:autoRedefine w:val="0"/>
    <w:hidden w:val="0"/>
    <w:qFormat w:val="0"/>
    <w:pPr>
      <w:keepNext w:val="1"/>
      <w:keepLines w:val="1"/>
      <w:numPr>
        <w:ilvl w:val="4"/>
        <w:numId w:val="1"/>
      </w:numPr>
      <w:suppressAutoHyphens w:val="0"/>
      <w:spacing w:after="40" w:before="220" w:line="1" w:lineRule="atLeast"/>
      <w:ind w:leftChars="-1" w:rightChars="0" w:firstLineChars="-1"/>
      <w:textDirection w:val="btLr"/>
      <w:textAlignment w:val="top"/>
      <w:outlineLvl w:val="4"/>
    </w:pPr>
    <w:rPr>
      <w:rFonts w:ascii="Calibri" w:cs="Calibri" w:eastAsia="Calibri" w:hAnsi="Calibri"/>
      <w:b w:val="1"/>
      <w:w w:val="100"/>
      <w:position w:val="-1"/>
      <w:sz w:val="22"/>
      <w:szCs w:val="22"/>
      <w:effect w:val="none"/>
      <w:vertAlign w:val="baseline"/>
      <w:cs w:val="0"/>
      <w:em w:val="none"/>
      <w:lang w:bidi="ar-SA" w:eastAsia="ar-SA" w:val="it-IT"/>
    </w:rPr>
  </w:style>
  <w:style w:type="paragraph" w:styleId="Titolo6">
    <w:name w:val="Titolo 6"/>
    <w:basedOn w:val="normal"/>
    <w:next w:val="normal"/>
    <w:autoRedefine w:val="0"/>
    <w:hidden w:val="0"/>
    <w:qFormat w:val="0"/>
    <w:pPr>
      <w:keepNext w:val="1"/>
      <w:keepLines w:val="1"/>
      <w:numPr>
        <w:ilvl w:val="5"/>
        <w:numId w:val="1"/>
      </w:numPr>
      <w:suppressAutoHyphens w:val="0"/>
      <w:spacing w:after="40" w:before="200" w:line="1" w:lineRule="atLeast"/>
      <w:ind w:leftChars="-1" w:rightChars="0" w:firstLineChars="-1"/>
      <w:textDirection w:val="btLr"/>
      <w:textAlignment w:val="top"/>
      <w:outlineLvl w:val="5"/>
    </w:pPr>
    <w:rPr>
      <w:rFonts w:ascii="Calibri" w:cs="Calibri" w:eastAsia="Calibri" w:hAnsi="Calibri"/>
      <w:b w:val="1"/>
      <w:w w:val="100"/>
      <w:position w:val="-1"/>
      <w:sz w:val="20"/>
      <w:szCs w:val="20"/>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z1">
    <w:name w:val="WW8Num1z1"/>
    <w:next w:val="WW8Num1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2z0">
    <w:name w:val="WW8Num2z0"/>
    <w:next w:val="WW8Num2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2z1">
    <w:name w:val="WW8Num2z1"/>
    <w:next w:val="WW8Num2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3z0">
    <w:name w:val="WW8Num3z0"/>
    <w:next w:val="WW8Num3z0"/>
    <w:autoRedefine w:val="0"/>
    <w:hidden w:val="0"/>
    <w:qFormat w:val="0"/>
    <w:rPr>
      <w:w w:val="100"/>
      <w:position w:val="0"/>
      <w:sz w:val="24"/>
      <w:effect w:val="none"/>
      <w:vertAlign w:val="baseline"/>
      <w:cs w:val="0"/>
      <w:em w:val="none"/>
      <w:lang/>
    </w:rPr>
  </w:style>
  <w:style w:type="character" w:styleId="WW8Num3z1">
    <w:name w:val="WW8Num3z1"/>
    <w:next w:val="WW8Num3z1"/>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4z0">
    <w:name w:val="WW8Num4z0"/>
    <w:next w:val="WW8Num4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4z1">
    <w:name w:val="WW8Num4z1"/>
    <w:next w:val="WW8Num4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6z1">
    <w:name w:val="WW8Num6z1"/>
    <w:next w:val="WW8Num6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7z0">
    <w:name w:val="WW8Num7z0"/>
    <w:next w:val="WW8Num7z0"/>
    <w:autoRedefine w:val="0"/>
    <w:hidden w:val="0"/>
    <w:qFormat w:val="0"/>
    <w:rPr>
      <w:rFonts w:ascii="Symbol" w:cs="Symbol" w:eastAsia="Comic Sans MS" w:hAnsi="Symbol" w:hint="default"/>
      <w:w w:val="100"/>
      <w:position w:val="-1"/>
      <w:sz w:val="24"/>
      <w:szCs w:val="24"/>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0">
    <w:name w:val="WW8Num8z0"/>
    <w:next w:val="WW8Num8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8z1">
    <w:name w:val="WW8Num8z1"/>
    <w:next w:val="WW8Num8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9z0">
    <w:name w:val="WW8Num9z0"/>
    <w:next w:val="WW8Num9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9z1">
    <w:name w:val="WW8Num9z1"/>
    <w:next w:val="WW8Num9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10z0">
    <w:name w:val="WW8Num10z0"/>
    <w:next w:val="WW8Num10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2z0">
    <w:name w:val="WW8Num12z0"/>
    <w:next w:val="WW8Num12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12z1">
    <w:name w:val="WW8Num12z1"/>
    <w:next w:val="WW8Num12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13z0">
    <w:name w:val="WW8Num13z0"/>
    <w:next w:val="WW8Num13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5z1">
    <w:name w:val="WW8Num15z1"/>
    <w:next w:val="WW8Num15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16z0">
    <w:name w:val="WW8Num16z0"/>
    <w:next w:val="WW8Num16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6z1">
    <w:name w:val="WW8Num16z1"/>
    <w:next w:val="WW8Num16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17z0">
    <w:name w:val="WW8Num17z0"/>
    <w:next w:val="WW8Num17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7z1">
    <w:name w:val="WW8Num17z1"/>
    <w:next w:val="WW8Num17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18z0">
    <w:name w:val="WW8Num18z0"/>
    <w:next w:val="WW8Num18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hint="default"/>
      <w:w w:val="100"/>
      <w:position w:val="-1"/>
      <w:effect w:val="none"/>
      <w:vertAlign w:val="baseline"/>
      <w:cs w:val="0"/>
      <w:em w:val="none"/>
      <w:lang/>
    </w:rPr>
  </w:style>
  <w:style w:type="character" w:styleId="WW8Num19z0">
    <w:name w:val="WW8Num19z0"/>
    <w:next w:val="WW8Num19z0"/>
    <w:autoRedefine w:val="0"/>
    <w:hidden w:val="0"/>
    <w:qFormat w:val="0"/>
    <w:rPr>
      <w:rFonts w:ascii="Comic Sans MS" w:cs="Comic Sans MS" w:eastAsia="Comic Sans MS" w:hAnsi="Comic Sans MS"/>
      <w:color w:val="000000"/>
      <w:w w:val="100"/>
      <w:position w:val="0"/>
      <w:sz w:val="28"/>
      <w:szCs w:val="28"/>
      <w:u w:val="none"/>
      <w:effect w:val="none"/>
      <w:vertAlign w:val="baseline"/>
      <w:cs w:val="0"/>
      <w:em w:val="none"/>
      <w:lang/>
    </w:rPr>
  </w:style>
  <w:style w:type="character" w:styleId="WW8Num19z1">
    <w:name w:val="WW8Num19z1"/>
    <w:next w:val="WW8Num19z1"/>
    <w:autoRedefine w:val="0"/>
    <w:hidden w:val="0"/>
    <w:qFormat w:val="0"/>
    <w:rPr>
      <w:w w:val="100"/>
      <w:position w:val="0"/>
      <w:sz w:val="24"/>
      <w:effect w:val="none"/>
      <w:vertAlign w:val="baseline"/>
      <w:cs w:val="0"/>
      <w:em w:val="none"/>
      <w:lang/>
    </w:rPr>
  </w:style>
  <w:style w:type="character" w:styleId="WW8Num20z0">
    <w:name w:val="WW8Num20z0"/>
    <w:next w:val="WW8Num20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20z1">
    <w:name w:val="WW8Num20z1"/>
    <w:next w:val="WW8Num20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21z0">
    <w:name w:val="WW8Num21z0"/>
    <w:next w:val="WW8Num21z0"/>
    <w:autoRedefine w:val="0"/>
    <w:hidden w:val="0"/>
    <w:qFormat w:val="0"/>
    <w:rPr>
      <w:rFonts w:ascii="Wingdings" w:cs="Wingdings" w:hAnsi="Wingdings" w:hint="default"/>
      <w:w w:val="100"/>
      <w:position w:val="0"/>
      <w:sz w:val="24"/>
      <w:effect w:val="none"/>
      <w:vertAlign w:val="baseline"/>
      <w:cs w:val="0"/>
      <w:em w:val="none"/>
      <w:lang/>
    </w:rPr>
  </w:style>
  <w:style w:type="character" w:styleId="WW8Num21z1">
    <w:name w:val="WW8Num21z1"/>
    <w:next w:val="WW8Num21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21z2">
    <w:name w:val="WW8Num21z2"/>
    <w:next w:val="WW8Num21z2"/>
    <w:autoRedefine w:val="0"/>
    <w:hidden w:val="0"/>
    <w:qFormat w:val="0"/>
    <w:rPr>
      <w:rFonts w:ascii="Noto Sans Symbols" w:cs="Noto Sans Symbols" w:eastAsia="Noto Sans Symbols" w:hAnsi="Noto Sans Symbols"/>
      <w:w w:val="100"/>
      <w:position w:val="0"/>
      <w:sz w:val="24"/>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Wingdings" w:cs="Wingdings" w:hAnsi="Wingdings"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3">
    <w:name w:val="WW8Num23z3"/>
    <w:next w:val="WW8Num23z3"/>
    <w:autoRedefine w:val="0"/>
    <w:hidden w:val="0"/>
    <w:qFormat w:val="0"/>
    <w:rPr>
      <w:rFonts w:ascii="Symbol" w:cs="Symbol" w:hAnsi="Symbol" w:hint="default"/>
      <w:w w:val="100"/>
      <w:position w:val="-1"/>
      <w:effect w:val="none"/>
      <w:vertAlign w:val="baseline"/>
      <w:cs w:val="0"/>
      <w:em w:val="none"/>
      <w:lang/>
    </w:rPr>
  </w:style>
  <w:style w:type="character" w:styleId="WW8Num24z0">
    <w:name w:val="WW8Num24z0"/>
    <w:next w:val="WW8Num24z0"/>
    <w:autoRedefine w:val="0"/>
    <w:hidden w:val="0"/>
    <w:qFormat w:val="0"/>
    <w:rPr>
      <w:w w:val="100"/>
      <w:position w:val="0"/>
      <w:sz w:val="24"/>
      <w:effect w:val="none"/>
      <w:vertAlign w:val="baseline"/>
      <w:cs w:val="0"/>
      <w:em w:val="none"/>
      <w:lang/>
    </w:rPr>
  </w:style>
  <w:style w:type="character" w:styleId="WW8Num24z1">
    <w:name w:val="WW8Num24z1"/>
    <w:next w:val="WW8Num24z1"/>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25z0">
    <w:name w:val="WW8Num25z0"/>
    <w:next w:val="WW8Num25z0"/>
    <w:autoRedefine w:val="0"/>
    <w:hidden w:val="0"/>
    <w:qFormat w:val="0"/>
    <w:rPr>
      <w:rFonts w:ascii="Comic Sans MS" w:cs="Comic Sans MS" w:eastAsia="Comic Sans MS" w:hAnsi="Comic Sans MS" w:hint="default"/>
      <w:color w:val="000000"/>
      <w:w w:val="100"/>
      <w:position w:val="-1"/>
      <w:sz w:val="24"/>
      <w:szCs w:val="24"/>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26z1">
    <w:name w:val="WW8Num26z1"/>
    <w:next w:val="WW8Num26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WW8Num27z0">
    <w:name w:val="WW8Num27z0"/>
    <w:next w:val="WW8Num27z0"/>
    <w:autoRedefine w:val="0"/>
    <w:hidden w:val="0"/>
    <w:qFormat w:val="0"/>
    <w:rPr>
      <w:rFonts w:ascii="Symbol" w:cs="Symbol" w:hAnsi="Symbol" w:hint="default"/>
      <w:w w:val="100"/>
      <w:position w:val="-1"/>
      <w:sz w:val="20"/>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sz w:val="20"/>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sz w:val="20"/>
      <w:effect w:val="none"/>
      <w:vertAlign w:val="baseline"/>
      <w:cs w:val="0"/>
      <w:em w:val="none"/>
      <w:lang/>
    </w:rPr>
  </w:style>
  <w:style w:type="character" w:styleId="WW8Num28z0">
    <w:name w:val="WW8Num28z0"/>
    <w:next w:val="WW8Num28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28z1">
    <w:name w:val="WW8Num28z1"/>
    <w:next w:val="WW8Num28z1"/>
    <w:autoRedefine w:val="0"/>
    <w:hidden w:val="0"/>
    <w:qFormat w:val="0"/>
    <w:rPr>
      <w:rFonts w:ascii="Courier New" w:cs="Courier New" w:eastAsia="Courier New" w:hAnsi="Courier New"/>
      <w:w w:val="100"/>
      <w:position w:val="0"/>
      <w:sz w:val="20"/>
      <w:szCs w:val="20"/>
      <w:effect w:val="none"/>
      <w:vertAlign w:val="baseline"/>
      <w:cs w:val="0"/>
      <w:em w:val="none"/>
      <w:lang/>
    </w:rPr>
  </w:style>
  <w:style w:type="character" w:styleId="WW8Num29z0">
    <w:name w:val="WW8Num29z0"/>
    <w:next w:val="WW8Num29z0"/>
    <w:autoRedefine w:val="0"/>
    <w:hidden w:val="0"/>
    <w:qFormat w:val="0"/>
    <w:rPr>
      <w:w w:val="100"/>
      <w:position w:val="0"/>
      <w:sz w:val="24"/>
      <w:effect w:val="none"/>
      <w:vertAlign w:val="baseline"/>
      <w:cs w:val="0"/>
      <w:em w:val="none"/>
      <w:lang/>
    </w:rPr>
  </w:style>
  <w:style w:type="character" w:styleId="WW8Num30z0">
    <w:name w:val="WW8Num30z0"/>
    <w:next w:val="WW8Num30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30z1">
    <w:name w:val="WW8Num30z1"/>
    <w:next w:val="WW8Num30z1"/>
    <w:autoRedefine w:val="0"/>
    <w:hidden w:val="0"/>
    <w:qFormat w:val="0"/>
    <w:rPr>
      <w:rFonts w:ascii="Comic Sans MS" w:cs="Comic Sans MS" w:eastAsia="Comic Sans MS" w:hAnsi="Comic Sans MS"/>
      <w:color w:val="000000"/>
      <w:w w:val="100"/>
      <w:position w:val="0"/>
      <w:sz w:val="24"/>
      <w:szCs w:val="24"/>
      <w:effect w:val="none"/>
      <w:vertAlign w:val="baseline"/>
      <w:cs w:val="0"/>
      <w:em w:val="none"/>
      <w:lang/>
    </w:rPr>
  </w:style>
  <w:style w:type="character" w:styleId="WW8Num31z0">
    <w:name w:val="WW8Num31z0"/>
    <w:next w:val="WW8Num31z0"/>
    <w:autoRedefine w:val="0"/>
    <w:hidden w:val="0"/>
    <w:qFormat w:val="0"/>
    <w:rPr>
      <w:rFonts w:ascii="Comic Sans MS" w:cs="Comic Sans MS" w:eastAsia="Comic Sans MS" w:hAnsi="Comic Sans MS"/>
      <w:color w:val="000000"/>
      <w:w w:val="100"/>
      <w:position w:val="0"/>
      <w:sz w:val="24"/>
      <w:szCs w:val="24"/>
      <w:effect w:val="none"/>
      <w:vertAlign w:val="baseline"/>
      <w:cs w:val="0"/>
      <w:em w:val="none"/>
      <w:lang/>
    </w:rPr>
  </w:style>
  <w:style w:type="character" w:styleId="WW8Num32z0">
    <w:name w:val="WW8Num32z0"/>
    <w:next w:val="WW8Num32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2z3">
    <w:name w:val="WW8Num32z3"/>
    <w:next w:val="WW8Num32z3"/>
    <w:autoRedefine w:val="0"/>
    <w:hidden w:val="0"/>
    <w:qFormat w:val="0"/>
    <w:rPr>
      <w:rFonts w:ascii="Symbol" w:cs="Symbol" w:hAnsi="Symbol" w:hint="default"/>
      <w:w w:val="100"/>
      <w:position w:val="-1"/>
      <w:effect w:val="none"/>
      <w:vertAlign w:val="baseline"/>
      <w:cs w:val="0"/>
      <w:em w:val="none"/>
      <w:lang/>
    </w:rPr>
  </w:style>
  <w:style w:type="character" w:styleId="WW8Num33z0">
    <w:name w:val="WW8Num33z0"/>
    <w:next w:val="WW8Num33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33z1">
    <w:name w:val="WW8Num33z1"/>
    <w:next w:val="WW8Num33z1"/>
    <w:autoRedefine w:val="0"/>
    <w:hidden w:val="0"/>
    <w:qFormat w:val="0"/>
    <w:rPr>
      <w:rFonts w:ascii="Courier New" w:cs="Courier New" w:eastAsia="Courier New" w:hAnsi="Courier New"/>
      <w:w w:val="100"/>
      <w:position w:val="0"/>
      <w:sz w:val="24"/>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rpodeltestoCarattere">
    <w:name w:val="Corpo del testo Carattere"/>
    <w:next w:val="CorpodeltestoCarattere"/>
    <w:autoRedefine w:val="0"/>
    <w:hidden w:val="0"/>
    <w:qFormat w:val="0"/>
    <w:rPr>
      <w:rFonts w:ascii="Times New Roman" w:cs="Lucida Sans" w:eastAsia="SimSun" w:hAnsi="Times New Roman"/>
      <w:w w:val="100"/>
      <w:kern w:val="1"/>
      <w:position w:val="-1"/>
      <w:sz w:val="24"/>
      <w:szCs w:val="24"/>
      <w:effect w:val="none"/>
      <w:vertAlign w:val="baseline"/>
      <w:cs w:val="0"/>
      <w:em w:val="none"/>
      <w:lang w:bidi="hi-IN" w:eastAsia="hi-IN"/>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563c1"/>
      <w:w w:val="100"/>
      <w:position w:val="-1"/>
      <w:u w:val="single"/>
      <w:effect w:val="none"/>
      <w:vertAlign w:val="baseline"/>
      <w:cs w:val="0"/>
      <w:em w:val="none"/>
      <w:lang/>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hi-IN" w:val="und"/>
    </w:rPr>
  </w:style>
  <w:style w:type="paragraph" w:styleId="Elenco">
    <w:name w:val="Elenco"/>
    <w:basedOn w:val="Corpodel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hi-IN" w:val="und"/>
    </w:rPr>
  </w:style>
  <w:style w:type="paragraph" w:styleId="Didascalia1">
    <w:name w:val="Didascalia1"/>
    <w:basedOn w:val="Normale"/>
    <w:next w:val="Didascali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Calibri" w:cs="Lucida Sans" w:eastAsia="Calibri" w:hAnsi="Calibri"/>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Lucida Sans" w:eastAsia="Calibri" w:hAnsi="Calibri"/>
      <w:w w:val="100"/>
      <w:position w:val="-1"/>
      <w:effect w:val="none"/>
      <w:vertAlign w:val="baseline"/>
      <w:cs w:val="0"/>
      <w:em w:val="none"/>
      <w:lang w:bidi="ar-SA" w:eastAsia="ar-SA" w:val="it-IT"/>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Titolo">
    <w:name w:val="Titolo"/>
    <w:basedOn w:val="normal"/>
    <w:next w:val="normal"/>
    <w:autoRedefine w:val="0"/>
    <w:hidden w:val="0"/>
    <w:qFormat w:val="0"/>
    <w:pPr>
      <w:keepNext w:val="1"/>
      <w:keepLines w:val="1"/>
      <w:suppressAutoHyphens w:val="0"/>
      <w:spacing w:after="120" w:before="480" w:line="1" w:lineRule="atLeast"/>
      <w:ind w:leftChars="-1" w:rightChars="0" w:firstLineChars="-1"/>
      <w:textDirection w:val="btLr"/>
      <w:textAlignment w:val="top"/>
      <w:outlineLvl w:val="0"/>
    </w:pPr>
    <w:rPr>
      <w:rFonts w:ascii="Calibri" w:cs="Calibri" w:eastAsia="Calibri" w:hAnsi="Calibri"/>
      <w:b w:val="1"/>
      <w:w w:val="100"/>
      <w:position w:val="-1"/>
      <w:sz w:val="72"/>
      <w:szCs w:val="72"/>
      <w:effect w:val="none"/>
      <w:vertAlign w:val="baseline"/>
      <w:cs w:val="0"/>
      <w:em w:val="none"/>
      <w:lang w:bidi="ar-SA" w:eastAsia="ar-SA" w:val="it-IT"/>
    </w:rPr>
  </w:style>
  <w:style w:type="paragraph" w:styleId="Sottotitolo">
    <w:name w:val="Sottotitolo"/>
    <w:basedOn w:val="normal"/>
    <w:next w:val="normal"/>
    <w:autoRedefine w:val="0"/>
    <w:hidden w:val="0"/>
    <w:qFormat w:val="0"/>
    <w:pPr>
      <w:keepNext w:val="1"/>
      <w:keepLines w:val="1"/>
      <w:suppressAutoHyphens w:val="0"/>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0"/>
      <w:spacing w:after="119" w:before="28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Calibri" w:cs="Calibri" w:eastAsia="Calibri" w:hAnsi="Calibri"/>
      <w:b w:val="1"/>
      <w:bCs w:val="1"/>
      <w:w w:val="100"/>
      <w:position w:val="-1"/>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Calibri" w:cs="Calibri" w:eastAsia="Calibri" w:hAnsi="Calibri"/>
      <w:w w:val="100"/>
      <w:position w:val="-1"/>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5.0" w:type="dxa"/>
        <w:bottom w:w="0.0" w:type="dxa"/>
        <w:right w:w="7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p.aci.it/firenze/IMG/pdf/Dichiarazione_sostitutiva_per_autocarri-6.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f1AZdyz4krP7Tz9ZfmeIM8vpw==">AMUW2mUZ+/8/EpaaqQszOq01W+Xe5sBEy0UgupvIrqT7BHUbooBYs4wRXjfG08X9gaiLWXKZIayUz8WN5N2J1S/8WHxcpkHeho9NvljjR2x7hIReSRcio9Fmz6x9P6f2an8kNMOwpomDOuFtkxYeyj0VG2PdaA8pcXeSBx+9QPkh+drd6joDsrau30DbyFno2JMAch5VXb6t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2023-01-04T13:19:00Z</dcterms:created>
  <dc:creator>551368</dc:creator>
</cp:coreProperties>
</file>

<file path=docProps/custom.xml><?xml version="1.0" encoding="utf-8"?>
<Properties xmlns="http://schemas.openxmlformats.org/officeDocument/2006/custom-properties" xmlns:vt="http://schemas.openxmlformats.org/officeDocument/2006/docPropsVTypes"/>
</file>