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36152" w:rsidRDefault="00136152">
      <w:pPr>
        <w:rPr>
          <w:sz w:val="28"/>
        </w:rPr>
      </w:pPr>
    </w:p>
    <w:p w:rsidR="000B0E62" w:rsidRDefault="000B0E62">
      <w:pPr>
        <w:jc w:val="center"/>
      </w:pPr>
    </w:p>
    <w:p w:rsidR="000B0E62" w:rsidRDefault="000B0E62">
      <w:pPr>
        <w:jc w:val="center"/>
      </w:pPr>
    </w:p>
    <w:p w:rsidR="00136152" w:rsidRDefault="00531F30">
      <w:pPr>
        <w:jc w:val="center"/>
      </w:pPr>
      <w:r>
        <w:rPr>
          <w:noProof/>
          <w:sz w:val="28"/>
        </w:rPr>
        <w:drawing>
          <wp:inline distT="0" distB="0" distL="0" distR="0">
            <wp:extent cx="733425" cy="7524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548" t="-534" r="-548" b="-534"/>
                    <a:stretch>
                      <a:fillRect/>
                    </a:stretch>
                  </pic:blipFill>
                  <pic:spPr bwMode="auto">
                    <a:xfrm>
                      <a:off x="0" y="0"/>
                      <a:ext cx="733425" cy="752475"/>
                    </a:xfrm>
                    <a:prstGeom prst="rect">
                      <a:avLst/>
                    </a:prstGeom>
                    <a:solidFill>
                      <a:srgbClr val="FFFFFF"/>
                    </a:solidFill>
                    <a:ln>
                      <a:noFill/>
                    </a:ln>
                  </pic:spPr>
                </pic:pic>
              </a:graphicData>
            </a:graphic>
          </wp:inline>
        </w:drawing>
      </w:r>
    </w:p>
    <w:p w:rsidR="00136152" w:rsidRDefault="00136152">
      <w:pPr>
        <w:pStyle w:val="Didascalia1"/>
        <w:jc w:val="center"/>
      </w:pPr>
      <w:r>
        <w:t>AUTOMOBILE CLUB L’AQUILA</w:t>
      </w:r>
    </w:p>
    <w:p w:rsidR="00136152" w:rsidRDefault="00136152"/>
    <w:p w:rsidR="00136152" w:rsidRDefault="00136152">
      <w:pPr>
        <w:jc w:val="both"/>
        <w:rPr>
          <w:rFonts w:ascii="Arial" w:hAnsi="Arial" w:cs="Arial"/>
          <w:sz w:val="22"/>
          <w:szCs w:val="22"/>
        </w:rPr>
      </w:pPr>
    </w:p>
    <w:p w:rsidR="00136152" w:rsidRDefault="00136152">
      <w:pPr>
        <w:jc w:val="both"/>
        <w:rPr>
          <w:rFonts w:ascii="Arial" w:hAnsi="Arial" w:cs="Arial"/>
          <w:sz w:val="22"/>
          <w:szCs w:val="22"/>
        </w:rPr>
      </w:pPr>
    </w:p>
    <w:p w:rsidR="00136152" w:rsidRPr="000837D9" w:rsidRDefault="00136152">
      <w:pPr>
        <w:jc w:val="both"/>
      </w:pPr>
      <w:r w:rsidRPr="000837D9">
        <w:rPr>
          <w:rFonts w:ascii="Arial" w:hAnsi="Arial" w:cs="Arial"/>
        </w:rPr>
        <w:t>DETERMINAZIONE N.</w:t>
      </w:r>
      <w:r w:rsidR="000B0E62" w:rsidRPr="000837D9">
        <w:rPr>
          <w:rFonts w:ascii="Arial" w:hAnsi="Arial" w:cs="Arial"/>
        </w:rPr>
        <w:t xml:space="preserve"> </w:t>
      </w:r>
      <w:r w:rsidR="007F50D1">
        <w:rPr>
          <w:rFonts w:ascii="Arial" w:hAnsi="Arial" w:cs="Arial"/>
        </w:rPr>
        <w:t>3</w:t>
      </w:r>
      <w:r w:rsidR="000B0E62" w:rsidRPr="000837D9">
        <w:rPr>
          <w:rFonts w:ascii="Arial" w:hAnsi="Arial" w:cs="Arial"/>
        </w:rPr>
        <w:t xml:space="preserve"> </w:t>
      </w:r>
      <w:r w:rsidRPr="000837D9">
        <w:rPr>
          <w:rFonts w:ascii="Arial" w:hAnsi="Arial" w:cs="Arial"/>
        </w:rPr>
        <w:t xml:space="preserve">DEL </w:t>
      </w:r>
      <w:r w:rsidR="007F50D1">
        <w:rPr>
          <w:rFonts w:ascii="Arial" w:hAnsi="Arial" w:cs="Arial"/>
        </w:rPr>
        <w:t>10</w:t>
      </w:r>
      <w:r w:rsidRPr="000837D9">
        <w:rPr>
          <w:rFonts w:ascii="Arial" w:hAnsi="Arial" w:cs="Arial"/>
        </w:rPr>
        <w:t>/</w:t>
      </w:r>
      <w:r w:rsidR="007F50D1">
        <w:rPr>
          <w:rFonts w:ascii="Arial" w:hAnsi="Arial" w:cs="Arial"/>
        </w:rPr>
        <w:t>03</w:t>
      </w:r>
      <w:r w:rsidRPr="000837D9">
        <w:rPr>
          <w:rFonts w:ascii="Arial" w:hAnsi="Arial" w:cs="Arial"/>
        </w:rPr>
        <w:t>/202</w:t>
      </w:r>
      <w:r w:rsidR="007F50D1">
        <w:rPr>
          <w:rFonts w:ascii="Arial" w:hAnsi="Arial" w:cs="Arial"/>
        </w:rPr>
        <w:t>3</w:t>
      </w:r>
    </w:p>
    <w:p w:rsidR="00136152" w:rsidRPr="000837D9" w:rsidRDefault="00136152">
      <w:pPr>
        <w:jc w:val="both"/>
        <w:rPr>
          <w:rFonts w:ascii="Arial" w:hAnsi="Arial" w:cs="Arial"/>
        </w:rPr>
      </w:pPr>
    </w:p>
    <w:p w:rsidR="00136152" w:rsidRPr="000837D9" w:rsidRDefault="00136152">
      <w:pPr>
        <w:jc w:val="both"/>
        <w:rPr>
          <w:rFonts w:ascii="Arial" w:hAnsi="Arial" w:cs="Arial"/>
        </w:rPr>
      </w:pPr>
    </w:p>
    <w:p w:rsidR="00136152" w:rsidRPr="000837D9" w:rsidRDefault="00136152">
      <w:pPr>
        <w:jc w:val="both"/>
      </w:pPr>
      <w:r w:rsidRPr="000837D9">
        <w:rPr>
          <w:rFonts w:ascii="Arial" w:hAnsi="Arial" w:cs="Arial"/>
          <w:b/>
        </w:rPr>
        <w:t>Oggetto:</w:t>
      </w:r>
      <w:bookmarkStart w:id="0" w:name="_Hlk509568411"/>
      <w:r w:rsidRPr="000837D9">
        <w:rPr>
          <w:rFonts w:ascii="Arial" w:hAnsi="Arial" w:cs="Arial"/>
          <w:b/>
        </w:rPr>
        <w:t xml:space="preserve"> </w:t>
      </w:r>
      <w:bookmarkEnd w:id="0"/>
      <w:r w:rsidRPr="000837D9">
        <w:rPr>
          <w:rFonts w:ascii="Arial" w:hAnsi="Arial" w:cs="Arial"/>
          <w:b/>
        </w:rPr>
        <w:t>Servizio di ristorazione. CIG</w:t>
      </w:r>
      <w:r w:rsidRPr="000837D9">
        <w:rPr>
          <w:rFonts w:ascii="Arial" w:hAnsi="Arial" w:cs="Arial"/>
          <w:b/>
          <w:bCs/>
        </w:rPr>
        <w:t xml:space="preserve"> </w:t>
      </w:r>
      <w:bookmarkStart w:id="1" w:name="_Hlk132704380"/>
      <w:r w:rsidRPr="000837D9">
        <w:rPr>
          <w:rFonts w:ascii="Arial" w:hAnsi="Arial" w:cs="Arial"/>
          <w:b/>
          <w:bCs/>
        </w:rPr>
        <w:t>Z</w:t>
      </w:r>
      <w:r w:rsidR="007F50D1">
        <w:rPr>
          <w:rFonts w:ascii="Arial" w:hAnsi="Arial" w:cs="Arial"/>
          <w:b/>
          <w:bCs/>
        </w:rPr>
        <w:t>943A4DE6D</w:t>
      </w:r>
      <w:bookmarkEnd w:id="1"/>
    </w:p>
    <w:p w:rsidR="00136152" w:rsidRPr="000837D9" w:rsidRDefault="00136152">
      <w:pPr>
        <w:jc w:val="both"/>
        <w:rPr>
          <w:rFonts w:ascii="Arial" w:hAnsi="Arial" w:cs="Arial"/>
          <w:b/>
        </w:rPr>
      </w:pPr>
    </w:p>
    <w:p w:rsidR="00136152" w:rsidRPr="000837D9" w:rsidRDefault="00136152">
      <w:pPr>
        <w:jc w:val="both"/>
      </w:pPr>
      <w:r w:rsidRPr="000837D9">
        <w:rPr>
          <w:rFonts w:ascii="Arial" w:hAnsi="Arial" w:cs="Arial"/>
        </w:rPr>
        <w:t>Il Direttore dell’Automobile Club L’Aquila,</w:t>
      </w:r>
    </w:p>
    <w:p w:rsidR="00136152" w:rsidRPr="000837D9" w:rsidRDefault="00136152">
      <w:pPr>
        <w:jc w:val="both"/>
        <w:rPr>
          <w:rFonts w:ascii="Arial" w:hAnsi="Arial" w:cs="Arial"/>
        </w:rPr>
      </w:pPr>
    </w:p>
    <w:p w:rsidR="00136152" w:rsidRPr="000837D9" w:rsidRDefault="00136152">
      <w:pPr>
        <w:tabs>
          <w:tab w:val="left" w:pos="9356"/>
        </w:tabs>
        <w:suppressAutoHyphens w:val="0"/>
        <w:jc w:val="both"/>
      </w:pPr>
      <w:r w:rsidRPr="000837D9">
        <w:rPr>
          <w:rFonts w:ascii="Arial" w:hAnsi="Arial" w:cs="Arial"/>
          <w:b/>
          <w:lang w:eastAsia="it-IT"/>
        </w:rPr>
        <w:t>VISTO</w:t>
      </w:r>
      <w:r w:rsidRPr="000837D9">
        <w:rPr>
          <w:rFonts w:ascii="Arial" w:hAnsi="Arial" w:cs="Arial"/>
          <w:lang w:eastAsia="it-IT"/>
        </w:rPr>
        <w:t xml:space="preserve"> il Regolamento di Amministrazione e Contabilità dell’Automobile Club L’Aquila approvato dal Consiglio Direttivo dell’Ente nella seduta del 21 settembre 2009;</w:t>
      </w:r>
    </w:p>
    <w:p w:rsidR="00136152" w:rsidRPr="000837D9" w:rsidRDefault="00136152">
      <w:pPr>
        <w:tabs>
          <w:tab w:val="left" w:pos="9356"/>
        </w:tabs>
        <w:suppressAutoHyphens w:val="0"/>
        <w:ind w:left="284" w:right="284"/>
        <w:jc w:val="both"/>
        <w:rPr>
          <w:rFonts w:ascii="Arial" w:hAnsi="Arial" w:cs="Arial"/>
          <w:lang w:eastAsia="it-IT"/>
        </w:rPr>
      </w:pPr>
    </w:p>
    <w:p w:rsidR="006A44E2" w:rsidRPr="000837D9" w:rsidRDefault="006A44E2" w:rsidP="006A44E2">
      <w:pPr>
        <w:tabs>
          <w:tab w:val="left" w:pos="9356"/>
        </w:tabs>
        <w:suppressAutoHyphens w:val="0"/>
        <w:jc w:val="both"/>
      </w:pPr>
      <w:r w:rsidRPr="000837D9">
        <w:rPr>
          <w:rFonts w:ascii="Arial" w:hAnsi="Arial" w:cs="Arial"/>
          <w:b/>
          <w:bCs/>
          <w:lang w:eastAsia="it-IT"/>
        </w:rPr>
        <w:t>VISTA</w:t>
      </w:r>
      <w:r w:rsidRPr="000837D9">
        <w:rPr>
          <w:rFonts w:ascii="Arial" w:hAnsi="Arial" w:cs="Arial"/>
          <w:lang w:eastAsia="it-IT"/>
        </w:rPr>
        <w:t xml:space="preserve"> la Delibera del Consiglio Direttivo dell’Automobile Club L’Aquila n.1</w:t>
      </w:r>
      <w:r>
        <w:rPr>
          <w:rFonts w:ascii="Arial" w:hAnsi="Arial" w:cs="Arial"/>
          <w:lang w:eastAsia="it-IT"/>
        </w:rPr>
        <w:t>3</w:t>
      </w:r>
      <w:r w:rsidRPr="000837D9">
        <w:rPr>
          <w:rFonts w:ascii="Arial" w:hAnsi="Arial" w:cs="Arial"/>
          <w:lang w:eastAsia="it-IT"/>
        </w:rPr>
        <w:t xml:space="preserve"> del 2</w:t>
      </w:r>
      <w:r>
        <w:rPr>
          <w:rFonts w:ascii="Arial" w:hAnsi="Arial" w:cs="Arial"/>
          <w:lang w:eastAsia="it-IT"/>
        </w:rPr>
        <w:t>6</w:t>
      </w:r>
      <w:r w:rsidRPr="000837D9">
        <w:rPr>
          <w:rFonts w:ascii="Arial" w:hAnsi="Arial" w:cs="Arial"/>
          <w:lang w:eastAsia="it-IT"/>
        </w:rPr>
        <w:t xml:space="preserve"> ottobre 202</w:t>
      </w:r>
      <w:r>
        <w:rPr>
          <w:rFonts w:ascii="Arial" w:hAnsi="Arial" w:cs="Arial"/>
          <w:lang w:eastAsia="it-IT"/>
        </w:rPr>
        <w:t>2</w:t>
      </w:r>
      <w:r w:rsidRPr="000837D9">
        <w:rPr>
          <w:rFonts w:ascii="Arial" w:hAnsi="Arial" w:cs="Arial"/>
          <w:lang w:eastAsia="it-IT"/>
        </w:rPr>
        <w:t xml:space="preserve"> con la quale è stato approvato il budget annuale 202</w:t>
      </w:r>
      <w:r>
        <w:rPr>
          <w:rFonts w:ascii="Arial" w:hAnsi="Arial" w:cs="Arial"/>
          <w:lang w:eastAsia="it-IT"/>
        </w:rPr>
        <w:t>3</w:t>
      </w:r>
      <w:r w:rsidRPr="000837D9">
        <w:rPr>
          <w:rFonts w:ascii="Arial" w:hAnsi="Arial" w:cs="Arial"/>
          <w:lang w:eastAsia="it-IT"/>
        </w:rPr>
        <w:t>;</w:t>
      </w:r>
    </w:p>
    <w:p w:rsidR="006A44E2" w:rsidRPr="000837D9" w:rsidRDefault="006A44E2" w:rsidP="006A44E2">
      <w:pPr>
        <w:tabs>
          <w:tab w:val="left" w:pos="9356"/>
        </w:tabs>
        <w:suppressAutoHyphens w:val="0"/>
        <w:jc w:val="both"/>
        <w:rPr>
          <w:rFonts w:ascii="Arial" w:hAnsi="Arial" w:cs="Arial"/>
          <w:lang w:eastAsia="it-IT"/>
        </w:rPr>
      </w:pPr>
    </w:p>
    <w:p w:rsidR="006A44E2" w:rsidRPr="000837D9" w:rsidRDefault="006A44E2" w:rsidP="006A44E2">
      <w:pPr>
        <w:tabs>
          <w:tab w:val="left" w:pos="9356"/>
        </w:tabs>
        <w:suppressAutoHyphens w:val="0"/>
        <w:jc w:val="both"/>
      </w:pPr>
      <w:r w:rsidRPr="000837D9">
        <w:rPr>
          <w:rFonts w:ascii="Arial" w:hAnsi="Arial" w:cs="Arial"/>
          <w:b/>
          <w:bCs/>
          <w:lang w:eastAsia="it-IT"/>
        </w:rPr>
        <w:t>VISTA</w:t>
      </w:r>
      <w:r w:rsidRPr="000837D9">
        <w:rPr>
          <w:rFonts w:ascii="Arial" w:hAnsi="Arial" w:cs="Arial"/>
          <w:b/>
          <w:lang w:eastAsia="it-IT"/>
        </w:rPr>
        <w:t xml:space="preserve"> </w:t>
      </w:r>
      <w:r w:rsidRPr="000837D9">
        <w:rPr>
          <w:rFonts w:ascii="Arial" w:hAnsi="Arial" w:cs="Arial"/>
          <w:lang w:eastAsia="it-IT"/>
        </w:rPr>
        <w:t>la Determinazione del Direttore dell’Ente n. 1 del 1</w:t>
      </w:r>
      <w:r>
        <w:rPr>
          <w:rFonts w:ascii="Arial" w:hAnsi="Arial" w:cs="Arial"/>
          <w:lang w:eastAsia="it-IT"/>
        </w:rPr>
        <w:t>1</w:t>
      </w:r>
      <w:r w:rsidRPr="000837D9">
        <w:rPr>
          <w:rFonts w:ascii="Arial" w:hAnsi="Arial" w:cs="Arial"/>
          <w:lang w:eastAsia="it-IT"/>
        </w:rPr>
        <w:t xml:space="preserve"> gennaio 202</w:t>
      </w:r>
      <w:r>
        <w:rPr>
          <w:rFonts w:ascii="Arial" w:hAnsi="Arial" w:cs="Arial"/>
          <w:lang w:eastAsia="it-IT"/>
        </w:rPr>
        <w:t>3</w:t>
      </w:r>
      <w:r w:rsidRPr="000837D9">
        <w:rPr>
          <w:rFonts w:ascii="Arial" w:hAnsi="Arial" w:cs="Arial"/>
          <w:lang w:eastAsia="it-IT"/>
        </w:rPr>
        <w:t xml:space="preserve"> con la quale è stato definito il budget economico e di gestione 202</w:t>
      </w:r>
      <w:r>
        <w:rPr>
          <w:rFonts w:ascii="Arial" w:hAnsi="Arial" w:cs="Arial"/>
          <w:lang w:eastAsia="it-IT"/>
        </w:rPr>
        <w:t>3</w:t>
      </w:r>
      <w:r w:rsidRPr="000837D9">
        <w:rPr>
          <w:rFonts w:ascii="Arial" w:hAnsi="Arial" w:cs="Arial"/>
          <w:lang w:eastAsia="it-IT"/>
        </w:rPr>
        <w:t xml:space="preserve">; </w:t>
      </w:r>
    </w:p>
    <w:p w:rsidR="00136152" w:rsidRPr="000837D9" w:rsidRDefault="00136152">
      <w:pPr>
        <w:tabs>
          <w:tab w:val="left" w:pos="284"/>
          <w:tab w:val="left" w:pos="9356"/>
        </w:tabs>
        <w:suppressAutoHyphens w:val="0"/>
        <w:jc w:val="both"/>
        <w:rPr>
          <w:rFonts w:ascii="Arial" w:hAnsi="Arial" w:cs="Arial"/>
          <w:lang w:eastAsia="it-IT"/>
        </w:rPr>
      </w:pPr>
    </w:p>
    <w:p w:rsidR="00136152" w:rsidRPr="000837D9" w:rsidRDefault="00136152">
      <w:pPr>
        <w:jc w:val="both"/>
      </w:pPr>
      <w:r w:rsidRPr="000837D9">
        <w:rPr>
          <w:rFonts w:ascii="Arial" w:hAnsi="Arial" w:cs="Arial"/>
          <w:b/>
        </w:rPr>
        <w:t xml:space="preserve">DATO ATTO </w:t>
      </w:r>
      <w:r w:rsidRPr="000837D9">
        <w:rPr>
          <w:rFonts w:ascii="Arial" w:hAnsi="Arial" w:cs="Arial"/>
        </w:rPr>
        <w:t>che l’art. 36 comma 2 - lettera a) del Decreto Legislativo 50/ 2016 prevede che le stazioni appaltanti procedono all’affidamento dei lavori, servizi e forniture di importo</w:t>
      </w:r>
    </w:p>
    <w:p w:rsidR="00136152" w:rsidRPr="000837D9" w:rsidRDefault="00136152">
      <w:pPr>
        <w:jc w:val="both"/>
      </w:pPr>
      <w:r w:rsidRPr="000837D9">
        <w:rPr>
          <w:rFonts w:ascii="Arial" w:hAnsi="Arial" w:cs="Arial"/>
        </w:rPr>
        <w:t>inferiore a 40.000,00 euro, mediante affidamento diretto, anche senza previa consultazione di due o più operatori economici o per i lavori in amministrazione diretta;</w:t>
      </w:r>
    </w:p>
    <w:p w:rsidR="00136152" w:rsidRPr="000837D9" w:rsidRDefault="00136152">
      <w:pPr>
        <w:jc w:val="both"/>
        <w:rPr>
          <w:rFonts w:ascii="Arial" w:hAnsi="Arial" w:cs="Arial"/>
        </w:rPr>
      </w:pPr>
    </w:p>
    <w:p w:rsidR="00136152" w:rsidRPr="000837D9" w:rsidRDefault="00136152">
      <w:pPr>
        <w:jc w:val="both"/>
      </w:pPr>
      <w:r w:rsidRPr="000837D9">
        <w:rPr>
          <w:rFonts w:ascii="Arial" w:hAnsi="Arial" w:cs="Arial"/>
          <w:b/>
          <w:bCs/>
          <w:color w:val="00000A"/>
        </w:rPr>
        <w:t>VISTO</w:t>
      </w:r>
      <w:r w:rsidRPr="000837D9">
        <w:rPr>
          <w:rFonts w:ascii="Arial" w:hAnsi="Arial" w:cs="Arial"/>
          <w:color w:val="00000A"/>
        </w:rPr>
        <w:t>, inoltre, l’art. 1, comma 2, lett. a) della legge 11 settembre 2020, n. 120, come modificato dall’art. 51, comma 1, D.L. 31 maggio 2021, n. 77, secondo cui, fino al 30 giugno 2023, le stazioni appaltanti procedono all’“</w:t>
      </w:r>
      <w:r w:rsidRPr="000837D9">
        <w:rPr>
          <w:rFonts w:ascii="Arial" w:hAnsi="Arial" w:cs="Arial"/>
          <w:i/>
          <w:color w:val="00000A"/>
        </w:rPr>
        <w:t>affidamento diretto per lavori di importo inferiore a 150.000 euro e per servizi e forniture, ivi compresi i servizi di ingegneria e architettura e l’attività di progettazione, di importo inferiore a 139.000 euro</w:t>
      </w:r>
      <w:r w:rsidRPr="000837D9">
        <w:rPr>
          <w:rFonts w:ascii="Arial" w:hAnsi="Arial" w:cs="Arial"/>
          <w:color w:val="00000A"/>
        </w:rPr>
        <w:t>” mediante “</w:t>
      </w:r>
      <w:r w:rsidRPr="000837D9">
        <w:rPr>
          <w:rFonts w:ascii="Arial" w:hAnsi="Arial" w:cs="Arial"/>
          <w:i/>
          <w:color w:val="00000A"/>
        </w:rPr>
        <w:t>affidamento diretto, anche senza consultazione di più operatori economici, fermo restando il rispetto dei principi di cui all’articolo 30 del codice dei contratti pubblici di cui al decreto legislativo 18 aprile 2016, n. 50</w:t>
      </w:r>
      <w:r w:rsidRPr="000837D9">
        <w:rPr>
          <w:rFonts w:ascii="Arial" w:hAnsi="Arial" w:cs="Arial"/>
          <w:color w:val="00000A"/>
        </w:rPr>
        <w:t>”;</w:t>
      </w:r>
    </w:p>
    <w:p w:rsidR="00136152" w:rsidRPr="000837D9" w:rsidRDefault="00136152">
      <w:pPr>
        <w:jc w:val="both"/>
        <w:rPr>
          <w:rFonts w:ascii="Arial" w:hAnsi="Arial" w:cs="Arial"/>
        </w:rPr>
      </w:pPr>
    </w:p>
    <w:p w:rsidR="00136152" w:rsidRPr="000837D9" w:rsidRDefault="00136152">
      <w:pPr>
        <w:jc w:val="both"/>
      </w:pPr>
      <w:r w:rsidRPr="000837D9">
        <w:rPr>
          <w:rFonts w:ascii="Arial" w:hAnsi="Arial" w:cs="Arial"/>
          <w:b/>
        </w:rPr>
        <w:t xml:space="preserve">VISTO </w:t>
      </w:r>
      <w:r w:rsidRPr="000837D9">
        <w:rPr>
          <w:rFonts w:ascii="Arial" w:hAnsi="Arial" w:cs="Arial"/>
        </w:rPr>
        <w:t>l’articolo 1 comma 130 della L. n. 145 del 30.12.2018 che ha modificato l’art.1, comma 450 della Legge n.296/2006 e s.m.i., elevando a 5.000,00 euro l’importo previsto per il ricorso alla piattaforma Me.pa.;</w:t>
      </w:r>
    </w:p>
    <w:p w:rsidR="00136152" w:rsidRPr="000837D9" w:rsidRDefault="00136152">
      <w:pPr>
        <w:jc w:val="both"/>
        <w:rPr>
          <w:rFonts w:ascii="Arial" w:hAnsi="Arial" w:cs="Arial"/>
        </w:rPr>
      </w:pPr>
    </w:p>
    <w:p w:rsidR="00136152" w:rsidRPr="000837D9" w:rsidRDefault="00136152">
      <w:pPr>
        <w:jc w:val="both"/>
      </w:pPr>
      <w:r w:rsidRPr="000837D9">
        <w:rPr>
          <w:rFonts w:ascii="Arial" w:hAnsi="Arial" w:cs="Arial"/>
          <w:b/>
        </w:rPr>
        <w:t xml:space="preserve">RICHIAMATE </w:t>
      </w:r>
      <w:r w:rsidRPr="000837D9">
        <w:rPr>
          <w:rFonts w:ascii="Arial" w:hAnsi="Arial" w:cs="Arial"/>
        </w:rPr>
        <w:t>le disposizioni contenute nella Legge n. 136/2010, art. 3 e nella Legge n. 217 /2010 art. 6, commi 1 e 2, in relazione alla tracciabilità dei flussi finanziari;</w:t>
      </w:r>
    </w:p>
    <w:p w:rsidR="00136152" w:rsidRPr="000837D9" w:rsidRDefault="00136152">
      <w:pPr>
        <w:jc w:val="both"/>
        <w:rPr>
          <w:rFonts w:ascii="Arial" w:hAnsi="Arial" w:cs="Arial"/>
          <w:b/>
        </w:rPr>
      </w:pPr>
    </w:p>
    <w:p w:rsidR="000837D9" w:rsidRPr="000837D9" w:rsidRDefault="006A44E2" w:rsidP="000837D9">
      <w:pPr>
        <w:jc w:val="both"/>
      </w:pPr>
      <w:r>
        <w:rPr>
          <w:rFonts w:ascii="Arial" w:hAnsi="Arial" w:cs="Arial"/>
          <w:b/>
          <w:bCs/>
          <w:kern w:val="2"/>
        </w:rPr>
        <w:t>RITENUTA</w:t>
      </w:r>
      <w:r w:rsidRPr="000837D9">
        <w:rPr>
          <w:rFonts w:ascii="Arial" w:hAnsi="Arial" w:cs="Arial"/>
          <w:b/>
          <w:kern w:val="2"/>
        </w:rPr>
        <w:t xml:space="preserve"> </w:t>
      </w:r>
      <w:r>
        <w:rPr>
          <w:rFonts w:ascii="Arial" w:hAnsi="Arial" w:cs="Arial"/>
        </w:rPr>
        <w:t xml:space="preserve">utile a favorire lo spirito di club, da sempre alla base del nostro Sodalizio, </w:t>
      </w:r>
      <w:r w:rsidRPr="000837D9">
        <w:rPr>
          <w:rFonts w:ascii="Arial" w:hAnsi="Arial" w:cs="Arial"/>
          <w:kern w:val="2"/>
        </w:rPr>
        <w:t xml:space="preserve">l’organizzazione </w:t>
      </w:r>
      <w:r>
        <w:rPr>
          <w:rFonts w:ascii="Arial" w:hAnsi="Arial" w:cs="Arial"/>
          <w:kern w:val="2"/>
        </w:rPr>
        <w:t xml:space="preserve">di un </w:t>
      </w:r>
      <w:r w:rsidRPr="000837D9">
        <w:rPr>
          <w:rFonts w:ascii="Arial" w:hAnsi="Arial" w:cs="Arial"/>
          <w:kern w:val="2"/>
        </w:rPr>
        <w:t xml:space="preserve">incontro conviviale </w:t>
      </w:r>
      <w:r>
        <w:rPr>
          <w:rFonts w:ascii="Arial" w:hAnsi="Arial" w:cs="Arial"/>
          <w:kern w:val="2"/>
        </w:rPr>
        <w:t>tra</w:t>
      </w:r>
      <w:r w:rsidRPr="000837D9">
        <w:rPr>
          <w:rFonts w:ascii="Arial" w:hAnsi="Arial" w:cs="Arial"/>
          <w:kern w:val="2"/>
        </w:rPr>
        <w:t xml:space="preserve"> gli appartenenti al gruppo ACI della provincia dell’Aquila</w:t>
      </w:r>
      <w:r>
        <w:rPr>
          <w:rFonts w:ascii="Arial" w:hAnsi="Arial" w:cs="Arial"/>
          <w:kern w:val="2"/>
        </w:rPr>
        <w:t xml:space="preserve"> in </w:t>
      </w:r>
      <w:r>
        <w:rPr>
          <w:rFonts w:ascii="Arial" w:hAnsi="Arial" w:cs="Arial"/>
        </w:rPr>
        <w:t>occasione del corso ACI Sport del 10 marzo 2023</w:t>
      </w:r>
      <w:r w:rsidRPr="000837D9">
        <w:rPr>
          <w:rFonts w:ascii="Arial" w:hAnsi="Arial" w:cs="Arial"/>
          <w:kern w:val="2"/>
        </w:rPr>
        <w:t>;</w:t>
      </w:r>
      <w:r w:rsidR="000837D9" w:rsidRPr="000837D9">
        <w:rPr>
          <w:rFonts w:ascii="Arial" w:hAnsi="Arial" w:cs="Arial"/>
          <w:kern w:val="2"/>
        </w:rPr>
        <w:t xml:space="preserve"> </w:t>
      </w:r>
    </w:p>
    <w:p w:rsidR="000837D9" w:rsidRPr="000837D9" w:rsidRDefault="000837D9" w:rsidP="000837D9">
      <w:pPr>
        <w:jc w:val="both"/>
      </w:pPr>
    </w:p>
    <w:p w:rsidR="000837D9" w:rsidRPr="000837D9" w:rsidRDefault="000837D9" w:rsidP="000837D9">
      <w:pPr>
        <w:jc w:val="both"/>
      </w:pPr>
      <w:r w:rsidRPr="000837D9">
        <w:rPr>
          <w:rFonts w:ascii="Arial" w:hAnsi="Arial" w:cs="Arial"/>
          <w:b/>
        </w:rPr>
        <w:t>RITENUTO</w:t>
      </w:r>
      <w:r w:rsidRPr="000837D9">
        <w:rPr>
          <w:rFonts w:ascii="Arial" w:hAnsi="Arial" w:cs="Arial"/>
          <w:b/>
          <w:i/>
          <w:iCs/>
        </w:rPr>
        <w:t xml:space="preserve"> </w:t>
      </w:r>
      <w:r w:rsidRPr="000837D9">
        <w:rPr>
          <w:rFonts w:ascii="Arial" w:hAnsi="Arial" w:cs="Arial"/>
        </w:rPr>
        <w:t xml:space="preserve">congruo l’importo richiesto per il servizio in parola dal ristorante individuato, nonché aderente alle esigenze dell’Ente tenuto conto, tra l’altro, che il locale presenta una sala adeguatamente spaziosa ed attrezzata;  </w:t>
      </w:r>
    </w:p>
    <w:p w:rsidR="00C739E3" w:rsidRDefault="00C739E3">
      <w:pPr>
        <w:jc w:val="both"/>
        <w:rPr>
          <w:rFonts w:ascii="Arial" w:hAnsi="Arial" w:cs="Arial"/>
          <w:b/>
          <w:bCs/>
        </w:rPr>
      </w:pPr>
    </w:p>
    <w:p w:rsidR="00C739E3" w:rsidRDefault="00C739E3">
      <w:pPr>
        <w:jc w:val="both"/>
        <w:rPr>
          <w:rFonts w:ascii="Arial" w:hAnsi="Arial" w:cs="Arial"/>
          <w:b/>
          <w:bCs/>
        </w:rPr>
      </w:pPr>
    </w:p>
    <w:p w:rsidR="00C739E3" w:rsidRDefault="00C739E3">
      <w:pPr>
        <w:jc w:val="both"/>
        <w:rPr>
          <w:rFonts w:ascii="Arial" w:hAnsi="Arial" w:cs="Arial"/>
          <w:b/>
          <w:bCs/>
        </w:rPr>
      </w:pPr>
    </w:p>
    <w:p w:rsidR="00C739E3" w:rsidRDefault="00C739E3">
      <w:pPr>
        <w:jc w:val="both"/>
        <w:rPr>
          <w:rFonts w:ascii="Arial" w:hAnsi="Arial" w:cs="Arial"/>
          <w:b/>
          <w:bCs/>
        </w:rPr>
      </w:pPr>
    </w:p>
    <w:p w:rsidR="00C739E3" w:rsidRDefault="00C739E3">
      <w:pPr>
        <w:jc w:val="both"/>
        <w:rPr>
          <w:rFonts w:ascii="Arial" w:hAnsi="Arial" w:cs="Arial"/>
          <w:b/>
          <w:bCs/>
        </w:rPr>
      </w:pPr>
    </w:p>
    <w:p w:rsidR="00C739E3" w:rsidRDefault="00C739E3">
      <w:pPr>
        <w:jc w:val="both"/>
        <w:rPr>
          <w:rFonts w:ascii="Arial" w:hAnsi="Arial" w:cs="Arial"/>
          <w:b/>
          <w:bCs/>
        </w:rPr>
      </w:pPr>
    </w:p>
    <w:p w:rsidR="00C739E3" w:rsidRDefault="00C739E3">
      <w:pPr>
        <w:jc w:val="both"/>
        <w:rPr>
          <w:rFonts w:ascii="Arial" w:hAnsi="Arial" w:cs="Arial"/>
          <w:b/>
          <w:bCs/>
        </w:rPr>
      </w:pPr>
    </w:p>
    <w:p w:rsidR="00C739E3" w:rsidRDefault="00C739E3">
      <w:pPr>
        <w:jc w:val="both"/>
        <w:rPr>
          <w:rFonts w:ascii="Arial" w:hAnsi="Arial" w:cs="Arial"/>
          <w:b/>
          <w:bCs/>
        </w:rPr>
      </w:pPr>
    </w:p>
    <w:p w:rsidR="00136152" w:rsidRPr="000837D9" w:rsidRDefault="00136152">
      <w:pPr>
        <w:jc w:val="both"/>
      </w:pPr>
      <w:r w:rsidRPr="000837D9">
        <w:rPr>
          <w:rFonts w:ascii="Arial" w:hAnsi="Arial" w:cs="Arial"/>
          <w:b/>
          <w:bCs/>
        </w:rPr>
        <w:t>DATO ATTO</w:t>
      </w:r>
      <w:r w:rsidRPr="000837D9">
        <w:rPr>
          <w:rFonts w:ascii="Arial" w:hAnsi="Arial" w:cs="Arial"/>
        </w:rPr>
        <w:t xml:space="preserve"> che non sussistono situazioni di conflitto di interessi, neppure potenziali, tra il sottoscritto Responsabile e l’affidatario, né ricorrono le cause di incompatibilità previste dalla normativa vigente;</w:t>
      </w:r>
    </w:p>
    <w:p w:rsidR="00136152" w:rsidRPr="000837D9" w:rsidRDefault="00136152">
      <w:pPr>
        <w:jc w:val="both"/>
        <w:rPr>
          <w:rFonts w:ascii="Arial" w:hAnsi="Arial" w:cs="Arial"/>
        </w:rPr>
      </w:pPr>
    </w:p>
    <w:p w:rsidR="00136152" w:rsidRPr="000837D9" w:rsidRDefault="00136152">
      <w:pPr>
        <w:jc w:val="both"/>
      </w:pPr>
      <w:r w:rsidRPr="000837D9">
        <w:rPr>
          <w:rFonts w:ascii="Arial" w:hAnsi="Arial" w:cs="Arial"/>
          <w:b/>
        </w:rPr>
        <w:t xml:space="preserve">PRECISATO </w:t>
      </w:r>
      <w:r w:rsidRPr="000837D9">
        <w:rPr>
          <w:rFonts w:ascii="Arial" w:hAnsi="Arial" w:cs="Arial"/>
        </w:rPr>
        <w:t xml:space="preserve">che il codice CIG, attribuito dall’Autorità di vigilanza sui Contratti Pubblici è </w:t>
      </w:r>
      <w:r w:rsidR="006A44E2" w:rsidRPr="006A44E2">
        <w:rPr>
          <w:rFonts w:ascii="Arial" w:hAnsi="Arial" w:cs="Arial"/>
        </w:rPr>
        <w:t>Z943A4DE6D</w:t>
      </w:r>
      <w:r w:rsidR="000B0E62" w:rsidRPr="000837D9">
        <w:rPr>
          <w:rFonts w:ascii="Arial" w:hAnsi="Arial" w:cs="Arial"/>
        </w:rPr>
        <w:t>;</w:t>
      </w:r>
    </w:p>
    <w:p w:rsidR="00136152" w:rsidRPr="000837D9" w:rsidRDefault="00136152">
      <w:pPr>
        <w:jc w:val="both"/>
        <w:rPr>
          <w:rFonts w:ascii="Arial" w:hAnsi="Arial" w:cs="Arial"/>
        </w:rPr>
      </w:pPr>
    </w:p>
    <w:p w:rsidR="00136152" w:rsidRPr="000837D9" w:rsidRDefault="00136152">
      <w:pPr>
        <w:jc w:val="both"/>
      </w:pPr>
      <w:r w:rsidRPr="000837D9">
        <w:rPr>
          <w:rFonts w:ascii="Arial" w:eastAsia="Arial" w:hAnsi="Arial" w:cs="Arial"/>
        </w:rPr>
        <w:t xml:space="preserve">                                                                  </w:t>
      </w:r>
      <w:r w:rsidRPr="000837D9">
        <w:rPr>
          <w:rFonts w:ascii="Arial" w:hAnsi="Arial" w:cs="Arial"/>
          <w:b/>
        </w:rPr>
        <w:t>DETERMINA</w:t>
      </w:r>
    </w:p>
    <w:p w:rsidR="00136152" w:rsidRPr="000837D9" w:rsidRDefault="00136152">
      <w:pPr>
        <w:jc w:val="both"/>
        <w:rPr>
          <w:rFonts w:ascii="Arial" w:hAnsi="Arial" w:cs="Arial"/>
        </w:rPr>
      </w:pPr>
    </w:p>
    <w:p w:rsidR="00136152" w:rsidRPr="000837D9" w:rsidRDefault="00136152">
      <w:pPr>
        <w:jc w:val="both"/>
      </w:pPr>
      <w:r w:rsidRPr="000837D9">
        <w:rPr>
          <w:rFonts w:ascii="Arial" w:hAnsi="Arial" w:cs="Arial"/>
        </w:rPr>
        <w:t xml:space="preserve">di affidare il servizio di ristorazione alla Società HRG SRL, P.I. 01963810666 con sede legale a L’Aquila in P.zza S. Pietro via </w:t>
      </w:r>
      <w:proofErr w:type="spellStart"/>
      <w:r w:rsidRPr="000837D9">
        <w:rPr>
          <w:rFonts w:ascii="Arial" w:hAnsi="Arial" w:cs="Arial"/>
        </w:rPr>
        <w:t>Minicuccio</w:t>
      </w:r>
      <w:proofErr w:type="spellEnd"/>
      <w:r w:rsidRPr="000837D9">
        <w:rPr>
          <w:rFonts w:ascii="Arial" w:hAnsi="Arial" w:cs="Arial"/>
        </w:rPr>
        <w:t xml:space="preserve"> 2, per un importo complessivo di Euro </w:t>
      </w:r>
      <w:r w:rsidR="00A10863">
        <w:rPr>
          <w:rFonts w:ascii="Arial" w:hAnsi="Arial" w:cs="Arial"/>
        </w:rPr>
        <w:t>163</w:t>
      </w:r>
      <w:r w:rsidRPr="000837D9">
        <w:rPr>
          <w:rFonts w:ascii="Arial" w:hAnsi="Arial" w:cs="Arial"/>
        </w:rPr>
        <w:t>,</w:t>
      </w:r>
      <w:r w:rsidR="00A10863">
        <w:rPr>
          <w:rFonts w:ascii="Arial" w:hAnsi="Arial" w:cs="Arial"/>
        </w:rPr>
        <w:t>64</w:t>
      </w:r>
      <w:r w:rsidRPr="000837D9">
        <w:rPr>
          <w:rFonts w:ascii="Arial" w:hAnsi="Arial" w:cs="Arial"/>
          <w:color w:val="222222"/>
        </w:rPr>
        <w:t xml:space="preserve"> </w:t>
      </w:r>
      <w:r w:rsidRPr="000837D9">
        <w:rPr>
          <w:rFonts w:ascii="Arial" w:hAnsi="Arial" w:cs="Arial"/>
        </w:rPr>
        <w:t>oltre IVA.</w:t>
      </w:r>
    </w:p>
    <w:p w:rsidR="00136152" w:rsidRPr="000837D9" w:rsidRDefault="00136152">
      <w:pPr>
        <w:jc w:val="both"/>
      </w:pPr>
      <w:r w:rsidRPr="000837D9">
        <w:rPr>
          <w:rFonts w:ascii="Arial" w:eastAsia="Arial" w:hAnsi="Arial" w:cs="Arial"/>
        </w:rPr>
        <w:t xml:space="preserve"> </w:t>
      </w:r>
    </w:p>
    <w:p w:rsidR="00136152" w:rsidRPr="000837D9" w:rsidRDefault="00136152">
      <w:pPr>
        <w:jc w:val="both"/>
      </w:pPr>
      <w:r w:rsidRPr="000837D9">
        <w:rPr>
          <w:rFonts w:ascii="Arial" w:hAnsi="Arial" w:cs="Arial"/>
        </w:rPr>
        <w:t>La spesa trova copertura nel conto CO. GE.  CP.01.02.0047 acceso alla rilevazione dei costi per spese servizi istituzionali.</w:t>
      </w:r>
    </w:p>
    <w:p w:rsidR="00136152" w:rsidRPr="000837D9" w:rsidRDefault="00136152">
      <w:pPr>
        <w:jc w:val="both"/>
        <w:rPr>
          <w:rFonts w:ascii="Arial" w:hAnsi="Arial" w:cs="Arial"/>
        </w:rPr>
      </w:pPr>
    </w:p>
    <w:p w:rsidR="00136152" w:rsidRPr="000837D9" w:rsidRDefault="00136152">
      <w:pPr>
        <w:jc w:val="both"/>
        <w:rPr>
          <w:rFonts w:ascii="Arial" w:hAnsi="Arial" w:cs="Arial"/>
        </w:rPr>
      </w:pPr>
    </w:p>
    <w:p w:rsidR="00136152" w:rsidRPr="000837D9" w:rsidRDefault="00136152">
      <w:pPr>
        <w:jc w:val="both"/>
      </w:pPr>
      <w:r w:rsidRPr="000837D9">
        <w:rPr>
          <w:rFonts w:ascii="Arial" w:hAnsi="Arial" w:cs="Arial"/>
          <w:b/>
        </w:rPr>
        <w:tab/>
      </w:r>
      <w:r w:rsidRPr="000837D9">
        <w:rPr>
          <w:rFonts w:ascii="Arial" w:hAnsi="Arial" w:cs="Arial"/>
          <w:b/>
        </w:rPr>
        <w:tab/>
      </w:r>
      <w:r w:rsidRPr="000837D9">
        <w:rPr>
          <w:rFonts w:ascii="Arial" w:hAnsi="Arial" w:cs="Arial"/>
          <w:b/>
        </w:rPr>
        <w:tab/>
      </w:r>
      <w:r w:rsidRPr="000837D9">
        <w:rPr>
          <w:rFonts w:ascii="Arial" w:hAnsi="Arial" w:cs="Arial"/>
          <w:b/>
        </w:rPr>
        <w:tab/>
      </w:r>
      <w:r w:rsidRPr="000837D9">
        <w:rPr>
          <w:rFonts w:ascii="Arial" w:hAnsi="Arial" w:cs="Arial"/>
          <w:b/>
        </w:rPr>
        <w:tab/>
      </w:r>
      <w:r w:rsidRPr="000837D9">
        <w:rPr>
          <w:rFonts w:ascii="Arial" w:hAnsi="Arial" w:cs="Arial"/>
          <w:b/>
        </w:rPr>
        <w:tab/>
      </w:r>
      <w:r w:rsidRPr="000837D9">
        <w:rPr>
          <w:rFonts w:ascii="Arial" w:hAnsi="Arial" w:cs="Arial"/>
          <w:b/>
        </w:rPr>
        <w:tab/>
      </w:r>
      <w:r w:rsidRPr="000837D9">
        <w:rPr>
          <w:rFonts w:ascii="Arial" w:hAnsi="Arial" w:cs="Arial"/>
          <w:b/>
        </w:rPr>
        <w:tab/>
        <w:t xml:space="preserve">     </w:t>
      </w:r>
      <w:r w:rsidRPr="000837D9">
        <w:rPr>
          <w:rFonts w:ascii="Arial" w:hAnsi="Arial" w:cs="Arial"/>
        </w:rPr>
        <w:t>Il Direttore</w:t>
      </w:r>
    </w:p>
    <w:p w:rsidR="00136152" w:rsidRPr="000837D9" w:rsidRDefault="00136152">
      <w:pPr>
        <w:jc w:val="both"/>
      </w:pPr>
      <w:r w:rsidRPr="000837D9">
        <w:rPr>
          <w:rFonts w:ascii="Arial" w:hAnsi="Arial" w:cs="Arial"/>
          <w:b/>
          <w:bCs/>
          <w:i/>
        </w:rPr>
        <w:tab/>
      </w:r>
      <w:r w:rsidRPr="000837D9">
        <w:rPr>
          <w:rFonts w:ascii="Arial" w:hAnsi="Arial" w:cs="Arial"/>
          <w:b/>
          <w:bCs/>
          <w:i/>
        </w:rPr>
        <w:tab/>
      </w:r>
      <w:r w:rsidRPr="000837D9">
        <w:rPr>
          <w:rFonts w:ascii="Arial" w:hAnsi="Arial" w:cs="Arial"/>
          <w:b/>
          <w:bCs/>
          <w:i/>
        </w:rPr>
        <w:tab/>
      </w:r>
      <w:r w:rsidRPr="000837D9">
        <w:rPr>
          <w:rFonts w:ascii="Arial" w:hAnsi="Arial" w:cs="Arial"/>
          <w:b/>
          <w:bCs/>
          <w:i/>
        </w:rPr>
        <w:tab/>
      </w:r>
      <w:r w:rsidRPr="000837D9">
        <w:rPr>
          <w:rFonts w:ascii="Arial" w:hAnsi="Arial" w:cs="Arial"/>
          <w:b/>
          <w:bCs/>
          <w:i/>
        </w:rPr>
        <w:tab/>
      </w:r>
      <w:r w:rsidRPr="000837D9">
        <w:rPr>
          <w:rFonts w:ascii="Arial" w:hAnsi="Arial" w:cs="Arial"/>
          <w:b/>
          <w:bCs/>
          <w:i/>
        </w:rPr>
        <w:tab/>
      </w:r>
      <w:bookmarkStart w:id="2" w:name="_GoBack"/>
      <w:bookmarkEnd w:id="2"/>
      <w:r w:rsidRPr="000837D9">
        <w:rPr>
          <w:rFonts w:ascii="Arial" w:hAnsi="Arial" w:cs="Arial"/>
          <w:b/>
          <w:bCs/>
          <w:i/>
        </w:rPr>
        <w:tab/>
        <w:t xml:space="preserve">      </w:t>
      </w:r>
      <w:r w:rsidRPr="000837D9">
        <w:rPr>
          <w:rFonts w:ascii="Arial" w:hAnsi="Arial" w:cs="Arial"/>
        </w:rPr>
        <w:t xml:space="preserve"> (dott. Paolo Riccobono)</w:t>
      </w:r>
    </w:p>
    <w:sectPr w:rsidR="00136152" w:rsidRPr="000837D9" w:rsidSect="00AE6E3D">
      <w:pgSz w:w="11906" w:h="16838"/>
      <w:pgMar w:top="284" w:right="1134" w:bottom="357"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68"/>
    <w:rsid w:val="00031447"/>
    <w:rsid w:val="000837D9"/>
    <w:rsid w:val="000B0E62"/>
    <w:rsid w:val="000C751C"/>
    <w:rsid w:val="00136152"/>
    <w:rsid w:val="001508D8"/>
    <w:rsid w:val="003F7868"/>
    <w:rsid w:val="00531F30"/>
    <w:rsid w:val="006A44E2"/>
    <w:rsid w:val="007F50D1"/>
    <w:rsid w:val="00A10863"/>
    <w:rsid w:val="00A80782"/>
    <w:rsid w:val="00AE6E3D"/>
    <w:rsid w:val="00BF292C"/>
    <w:rsid w:val="00C739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9428E5"/>
  <w15:chartTrackingRefBased/>
  <w15:docId w15:val="{D10DF9D1-685A-481E-9164-F631338C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color w:val="222222"/>
    </w:rPr>
  </w:style>
  <w:style w:type="character" w:customStyle="1" w:styleId="WW8Num2z0">
    <w:name w:val="WW8Num2z0"/>
    <w:rPr>
      <w:rFonts w:ascii="Symbol" w:hAnsi="Symbol" w:cs="Symbol" w:hint="default"/>
      <w:color w:val="222222"/>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Carpredefinitoparagrafo3">
    <w:name w:val="Car. predefinito paragrafo3"/>
  </w:style>
  <w:style w:type="character" w:customStyle="1" w:styleId="Carpredefinitoparagrafo2">
    <w:name w:val="Car. predefinito paragrafo2"/>
  </w:style>
  <w:style w:type="character" w:customStyle="1" w:styleId="WW8Num1z3">
    <w:name w:val="WW8Num1z3"/>
    <w:rPr>
      <w:rFonts w:ascii="Symbol" w:hAnsi="Symbol" w:cs="Symbol" w:hint="default"/>
    </w:rPr>
  </w:style>
  <w:style w:type="character" w:customStyle="1" w:styleId="Carpredefinitoparagrafo1">
    <w:name w:val="Car. predefinito paragrafo1"/>
  </w:style>
  <w:style w:type="character" w:styleId="Collegamentoipertestuale">
    <w:name w:val="Hyperlink"/>
    <w:rPr>
      <w:color w:val="0000FF"/>
      <w:u w:val="single"/>
    </w:rPr>
  </w:style>
  <w:style w:type="character" w:customStyle="1" w:styleId="Punti">
    <w:name w:val="Punti"/>
    <w:rPr>
      <w:rFonts w:ascii="OpenSymbol" w:eastAsia="OpenSymbol" w:hAnsi="OpenSymbol" w:cs="OpenSymbol"/>
    </w:rPr>
  </w:style>
  <w:style w:type="paragraph" w:customStyle="1" w:styleId="Titolo2">
    <w:name w:val="Titolo2"/>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pPr>
      <w:suppressLineNumbers/>
    </w:pPr>
    <w:rPr>
      <w:rFonts w:cs="Mangal"/>
    </w:rPr>
  </w:style>
  <w:style w:type="paragraph" w:customStyle="1" w:styleId="Titolo1">
    <w:name w:val="Titolo1"/>
    <w:basedOn w:val="Normale"/>
    <w:next w:val="Corpotesto"/>
    <w:pPr>
      <w:keepNext/>
      <w:spacing w:before="240" w:after="120"/>
    </w:pPr>
    <w:rPr>
      <w:rFonts w:ascii="Liberation Sans" w:eastAsia="Microsoft YaHei" w:hAnsi="Liberation Sans" w:cs="Lucida Sans"/>
      <w:sz w:val="28"/>
      <w:szCs w:val="28"/>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customStyle="1" w:styleId="Didascalia1">
    <w:name w:val="Didascalia1"/>
    <w:basedOn w:val="Normale"/>
    <w:next w:val="Normale"/>
    <w:rPr>
      <w:b/>
      <w:bCs/>
      <w:color w:val="000080"/>
      <w:sz w:val="20"/>
    </w:rPr>
  </w:style>
  <w:style w:type="paragraph" w:customStyle="1" w:styleId="Intestazioneepidipagina">
    <w:name w:val="Intestazione e piè di pagina"/>
    <w:basedOn w:val="Normale"/>
    <w:pPr>
      <w:suppressLineNumbers/>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494</Words>
  <Characters>2819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aci</dc:creator>
  <cp:keywords/>
  <cp:lastModifiedBy>Account di default del master ACI Informatica</cp:lastModifiedBy>
  <cp:revision>5</cp:revision>
  <cp:lastPrinted>2022-12-12T15:07:00Z</cp:lastPrinted>
  <dcterms:created xsi:type="dcterms:W3CDTF">2023-04-18T07:52:00Z</dcterms:created>
  <dcterms:modified xsi:type="dcterms:W3CDTF">2023-06-20T07:30:00Z</dcterms:modified>
</cp:coreProperties>
</file>