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numPr>
          <w:ilvl w:val="0"/>
          <w:numId w:val="1"/>
        </w:numPr>
        <w:spacing w:before="240" w:after="24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Scheda di sintesi sulla rilevazione degli OIV o organismi con funzioni analoghe</w:t>
      </w:r>
    </w:p>
    <w:p>
      <w:pPr>
        <w:pStyle w:val="ListParagraph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360"/>
        <w:ind w:left="0" w:hanging="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>
      <w:pPr>
        <w:pStyle w:val="ListParagraph"/>
        <w:spacing w:lineRule="auto" w:line="276"/>
        <w:ind w:left="0" w:hanging="0"/>
        <w:rPr>
          <w:rFonts w:ascii="Titillium" w:hAnsi="Titillium"/>
          <w:sz w:val="20"/>
          <w:szCs w:val="20"/>
          <w:u w:val="single"/>
        </w:rPr>
      </w:pPr>
      <w:r>
        <w:rPr>
          <w:rFonts w:eastAsia="" w:cs="Garamond" w:ascii="Garamond" w:hAnsi="Garamond" w:eastAsiaTheme="minorEastAsia"/>
          <w:lang w:eastAsia="it-IT"/>
        </w:rPr>
        <w:t>La rilevazione è stata effettuata nel periodo 31 maggio – 30 giugno 2021</w:t>
      </w:r>
    </w:p>
    <w:p>
      <w:pPr>
        <w:pStyle w:val="ListParagraph"/>
        <w:spacing w:lineRule="auto" w:line="276"/>
        <w:ind w:lef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before="0" w:after="0"/>
        <w:ind w:left="0" w:hanging="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>
      <w:pPr>
        <w:pStyle w:val="ListParagraph"/>
        <w:spacing w:before="0" w:after="0"/>
        <w:ind w:left="0" w:hanging="0"/>
        <w:rPr>
          <w:rFonts w:ascii="Titillium" w:hAnsi="Titillium"/>
          <w:b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Normal"/>
        <w:keepNext w:val="false"/>
        <w:widowControl/>
        <w:pBdr/>
        <w:suppressAutoHyphens w:val="false"/>
        <w:spacing w:lineRule="auto" w:line="240" w:before="0" w:after="0"/>
        <w:rPr>
          <w:rFonts w:ascii="Garamond" w:hAnsi="Garamond" w:eastAsia="" w:cs="Garamond" w:eastAsiaTheme="minorEastAsia"/>
          <w:lang w:eastAsia="it-IT"/>
        </w:rPr>
      </w:pPr>
      <w:r>
        <w:rPr>
          <w:rFonts w:eastAsia="" w:cs="Garamond" w:ascii="Garamond" w:hAnsi="Garamond" w:eastAsiaTheme="minorEastAsia"/>
          <w:lang w:eastAsia="it-IT"/>
        </w:rPr>
        <w:t>La società AC BO Servizi assicurativi srl ha una struttura semplice ed è priva di Uffici periferici e/o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rPr>
          <w:rFonts w:ascii="Titillium" w:hAnsi="Titillium"/>
          <w:sz w:val="20"/>
          <w:szCs w:val="20"/>
        </w:rPr>
      </w:pPr>
      <w:r>
        <w:rPr>
          <w:rFonts w:eastAsia="" w:cs="Garamond" w:ascii="Garamond" w:hAnsi="Garamond" w:eastAsiaTheme="minorEastAsia"/>
          <w:lang w:eastAsia="it-IT"/>
        </w:rPr>
        <w:t>articolazioni organizzative autonome e Corpi.</w:t>
      </w:r>
    </w:p>
    <w:p>
      <w:pPr>
        <w:pStyle w:val="ListParagraph"/>
        <w:spacing w:lineRule="auto" w:line="276" w:before="0" w:after="0"/>
        <w:ind w:left="72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360"/>
        <w:ind w:left="0" w:hanging="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>
      <w:pPr>
        <w:pStyle w:val="Normal"/>
        <w:keepNext w:val="false"/>
        <w:widowControl/>
        <w:pBdr/>
        <w:suppressAutoHyphens w:val="false"/>
        <w:spacing w:lineRule="auto" w:line="240" w:before="0" w:after="0"/>
        <w:jc w:val="left"/>
        <w:rPr>
          <w:rFonts w:ascii="Titillium" w:hAnsi="Titillium"/>
          <w:sz w:val="20"/>
          <w:szCs w:val="20"/>
        </w:rPr>
      </w:pPr>
      <w:r>
        <w:rPr>
          <w:rFonts w:eastAsia="" w:cs="Garamond" w:ascii="Garamond" w:hAnsi="Garamond" w:eastAsiaTheme="minorEastAsia"/>
          <w:lang w:eastAsia="it-IT"/>
        </w:rPr>
        <w:t>La rilevazione è stata effettuata tramite</w:t>
      </w:r>
      <w:r>
        <w:rPr>
          <w:rFonts w:ascii="Titillium" w:hAnsi="Titillium"/>
          <w:sz w:val="20"/>
          <w:szCs w:val="20"/>
        </w:rPr>
        <w:t>:</w:t>
      </w:r>
    </w:p>
    <w:p>
      <w:pPr>
        <w:pStyle w:val="ListParagraph"/>
        <w:keepNext w:val="false"/>
        <w:widowControl/>
        <w:pBdr/>
        <w:suppressAutoHyphens w:val="false"/>
        <w:spacing w:lineRule="auto" w:line="240" w:before="0" w:after="0"/>
        <w:ind w:left="720" w:hanging="0"/>
        <w:rPr>
          <w:rFonts w:ascii="Garamond" w:hAnsi="Garamond" w:eastAsia="" w:cs="Garamond" w:eastAsiaTheme="minorEastAsia"/>
          <w:lang w:eastAsia="it-IT"/>
        </w:rPr>
      </w:pPr>
      <w:r>
        <w:rPr>
          <w:rFonts w:eastAsia="" w:cs="Garamond" w:eastAsiaTheme="minorEastAsia" w:ascii="Garamond" w:hAnsi="Garamond"/>
          <w:lang w:eastAsia="it-IT"/>
        </w:rPr>
      </w:r>
    </w:p>
    <w:p>
      <w:pPr>
        <w:pStyle w:val="ListParagraph"/>
        <w:keepNext w:val="false"/>
        <w:widowControl/>
        <w:numPr>
          <w:ilvl w:val="0"/>
          <w:numId w:val="2"/>
        </w:numPr>
        <w:pBdr/>
        <w:suppressAutoHyphens w:val="false"/>
        <w:spacing w:lineRule="auto" w:line="240" w:before="0" w:after="0"/>
        <w:rPr>
          <w:rFonts w:ascii="Titillium" w:hAnsi="Titillium"/>
          <w:sz w:val="20"/>
          <w:szCs w:val="20"/>
        </w:rPr>
      </w:pPr>
      <w:r>
        <w:rPr>
          <w:rFonts w:eastAsia="" w:cs="Garamond" w:ascii="Garamond" w:hAnsi="Garamond" w:eastAsiaTheme="minorEastAsia"/>
          <w:lang w:eastAsia="it-IT"/>
        </w:rPr>
        <w:t>verifica diretta sul sito istituzionale, sezione “Società Trasparente”</w:t>
      </w:r>
      <w:r>
        <w:rPr>
          <w:rFonts w:ascii="Titillium" w:hAnsi="Titillium"/>
          <w:sz w:val="20"/>
          <w:szCs w:val="20"/>
        </w:rPr>
        <w:t>.</w:t>
      </w:r>
    </w:p>
    <w:p>
      <w:pPr>
        <w:pStyle w:val="Normal"/>
        <w:spacing w:lineRule="auto" w:line="36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>
      <w:pPr>
        <w:pStyle w:val="Normal"/>
        <w:spacing w:lineRule="auto" w:line="360"/>
        <w:rPr>
          <w:rFonts w:ascii="Titillium" w:hAnsi="Titillium"/>
          <w:b/>
          <w:b/>
          <w:sz w:val="20"/>
          <w:szCs w:val="20"/>
        </w:rPr>
      </w:pPr>
      <w:r>
        <w:rPr>
          <w:rFonts w:ascii="Titillium" w:hAnsi="Titillium"/>
          <w:b/>
          <w:sz w:val="20"/>
          <w:szCs w:val="20"/>
        </w:rPr>
        <w:t>-----</w:t>
      </w:r>
    </w:p>
    <w:p>
      <w:pPr>
        <w:pStyle w:val="Normal"/>
        <w:spacing w:lineRule="auto" w:line="360"/>
        <w:rPr>
          <w:rFonts w:ascii="Titillium" w:hAnsi="Titillium"/>
          <w:b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Eventuale documentazione da allegare</w:t>
      </w:r>
      <w:bookmarkStart w:id="0" w:name="_GoBack"/>
      <w:bookmarkEnd w:id="0"/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-----</w:t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</w:r>
    </w:p>
    <w:p>
      <w:pPr>
        <w:pStyle w:val="Normal"/>
        <w:spacing w:lineRule="auto" w:line="36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Bologna, 30.06.2021</w:t>
      </w:r>
    </w:p>
    <w:p>
      <w:pPr>
        <w:pStyle w:val="Normal"/>
        <w:spacing w:lineRule="auto" w:line="360" w:before="0" w:after="120"/>
        <w:rPr>
          <w:rFonts w:ascii="Titillium" w:hAnsi="Titillium"/>
          <w:b/>
          <w:b/>
          <w:i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Il RPCT – Francesca Bavieri</w:t>
      </w:r>
    </w:p>
    <w:sectPr>
      <w:headerReference w:type="default" r:id="rId2"/>
      <w:type w:val="nextPage"/>
      <w:pgSz w:w="11906" w:h="16838"/>
      <w:pgMar w:left="1134" w:right="1134" w:header="708" w:top="1417" w:footer="0" w:bottom="7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tillium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rFonts w:ascii="Garamond" w:hAnsi="Garamond"/>
        <w:b/>
        <w:b/>
      </w:rPr>
    </w:pPr>
    <w:r>
      <w:rPr>
        <w:rFonts w:ascii="Garamond" w:hAnsi="Garamond"/>
        <w:b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-271780</wp:posOffset>
          </wp:positionH>
          <wp:positionV relativeFrom="page">
            <wp:posOffset>453390</wp:posOffset>
          </wp:positionV>
          <wp:extent cx="2879725" cy="341630"/>
          <wp:effectExtent l="0" t="0" r="0" b="0"/>
          <wp:wrapSquare wrapText="bothSides"/>
          <wp:docPr id="1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right"/>
      <w:rPr>
        <w:rFonts w:ascii="Garamond" w:hAnsi="Garamond"/>
        <w:b/>
        <w:b/>
      </w:rPr>
    </w:pPr>
    <w:r>
      <w:rPr>
        <w:rFonts w:ascii="Garamond" w:hAnsi="Garamond"/>
        <w:b/>
      </w:rPr>
    </w:r>
  </w:p>
  <w:p>
    <w:pPr>
      <w:pStyle w:val="Intestazione"/>
      <w:tabs>
        <w:tab w:val="left" w:pos="3878" w:leader="none"/>
        <w:tab w:val="center" w:pos="4819" w:leader="none"/>
        <w:tab w:val="right" w:pos="9638" w:leader="none"/>
      </w:tabs>
      <w:rPr>
        <w:rFonts w:ascii="Garamond" w:hAnsi="Garamond"/>
        <w:b/>
        <w:b/>
      </w:rPr>
    </w:pPr>
    <w:r>
      <w:rPr>
        <w:rFonts w:ascii="Garamond" w:hAnsi="Garamond"/>
        <w:b/>
      </w:rPr>
      <w:tab/>
      <w:tab/>
    </w:r>
  </w:p>
  <w:p>
    <w:pPr>
      <w:pStyle w:val="Intestazione"/>
      <w:jc w:val="right"/>
      <w:rPr>
        <w:rFonts w:ascii="Titillium" w:hAnsi="Titillium" w:cs="Times New Roman"/>
        <w:b/>
        <w:b/>
        <w:sz w:val="20"/>
        <w:szCs w:val="20"/>
      </w:rPr>
    </w:pPr>
    <w:r>
      <w:rPr>
        <w:rFonts w:ascii="Titillium" w:hAnsi="Titillium"/>
        <w:b/>
        <w:sz w:val="20"/>
        <w:szCs w:val="20"/>
      </w:rPr>
      <w:t xml:space="preserve">Allegato 3 alla </w:t>
    </w:r>
    <w:r>
      <w:rPr>
        <w:rFonts w:cs="Times New Roman" w:ascii="Titillium" w:hAnsi="Titillium"/>
        <w:b/>
        <w:sz w:val="20"/>
        <w:szCs w:val="20"/>
      </w:rPr>
      <w:t>delibera ANAC n. 294/2021</w:t>
    </w:r>
  </w:p>
  <w:p>
    <w:pPr>
      <w:pStyle w:val="Intestazione"/>
      <w:jc w:val="right"/>
      <w:rPr>
        <w:rFonts w:ascii="Garamond" w:hAnsi="Garamond" w:cs="Times New Roman"/>
        <w:b/>
        <w:b/>
      </w:rPr>
    </w:pPr>
    <w:r>
      <w:rPr>
        <w:rFonts w:cs="Times New Roman" w:ascii="Garamond" w:hAnsi="Garamond"/>
        <w:b/>
      </w:rPr>
    </w:r>
  </w:p>
  <w:p>
    <w:pPr>
      <w:pStyle w:val="Intestazione"/>
      <w:jc w:val="right"/>
      <w:rPr>
        <w:rFonts w:ascii="Garamond" w:hAnsi="Garamond" w:cs="Times New Roman"/>
        <w:b/>
        <w:b/>
      </w:rPr>
    </w:pPr>
    <w:r>
      <w:rPr>
        <w:rFonts w:cs="Times New Roman" w:ascii="Garamond" w:hAnsi="Garamond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5d2e"/>
    <w:pPr>
      <w:keepNext w:val="true"/>
      <w:widowControl w:val="false"/>
      <w:pBdr/>
      <w:suppressAutoHyphens w:val="true"/>
      <w:bidi w:val="0"/>
      <w:spacing w:lineRule="atLeast" w:line="100" w:before="0" w:after="120"/>
      <w:jc w:val="both"/>
    </w:pPr>
    <w:rPr>
      <w:rFonts w:ascii="Times New Roman" w:hAnsi="Times New Roman" w:eastAsia="Times New Roman" w:cs="Cambria"/>
      <w:color w:val="auto"/>
      <w:kern w:val="0"/>
      <w:sz w:val="24"/>
      <w:szCs w:val="24"/>
      <w:lang w:eastAsia="ar-SA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>
    <w:name w:val="Richiamo alla nota a piè di pagina"/>
    <w:rPr>
      <w:sz w:val="14"/>
      <w:vertAlign w:val="superscript"/>
    </w:rPr>
  </w:style>
  <w:style w:type="character" w:styleId="FootnoteCharacters">
    <w:name w:val="Footnote Characters"/>
    <w:basedOn w:val="DefaultParagraphFont"/>
    <w:qFormat/>
    <w:rsid w:val="00c55d2e"/>
    <w:rPr>
      <w:sz w:val="14"/>
      <w:vertAlign w:val="superscript"/>
    </w:rPr>
  </w:style>
  <w:style w:type="character" w:styleId="TestonotaapidipaginaCarattere" w:customStyle="1">
    <w:name w:val="Testo nota a piè di pagina Carattere"/>
    <w:basedOn w:val="DefaultParagraphFont"/>
    <w:qFormat/>
    <w:rsid w:val="00c55d2e"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TestonotaapidipaginaCarattere1" w:customStyle="1">
    <w:name w:val="Testo nota a piè di pagina Carattere1"/>
    <w:basedOn w:val="DefaultParagraphFont"/>
    <w:qFormat/>
    <w:rsid w:val="00c55d2e"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TitoloCarattere" w:customStyle="1">
    <w:name w:val="Titolo Carattere"/>
    <w:basedOn w:val="DefaultParagraphFont"/>
    <w:qFormat/>
    <w:rsid w:val="00c55d2e"/>
    <w:rPr>
      <w:rFonts w:ascii="Times New Roman" w:hAnsi="Times New Roman" w:eastAsia="Times New Roman" w:cs="Times New Roman"/>
      <w:b/>
      <w:bCs/>
      <w:i/>
      <w:sz w:val="36"/>
      <w:szCs w:val="32"/>
      <w:lang w:eastAsia="ar-SA"/>
    </w:rPr>
  </w:style>
  <w:style w:type="character" w:styleId="IntestazioneCarattere" w:customStyle="1">
    <w:name w:val="Intestazione Carattere"/>
    <w:basedOn w:val="DefaultParagraphFont"/>
    <w:qFormat/>
    <w:rsid w:val="00c55d2e"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sid w:val="00c55d2e"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Annotationreference">
    <w:name w:val="annotation reference"/>
    <w:basedOn w:val="DefaultParagraphFont"/>
    <w:qFormat/>
    <w:rsid w:val="00c55d2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c55d2e"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SoggettocommentoCarattere" w:customStyle="1">
    <w:name w:val="Soggetto commento Carattere"/>
    <w:basedOn w:val="TestocommentoCarattere"/>
    <w:qFormat/>
    <w:rsid w:val="00c55d2e"/>
    <w:rPr>
      <w:rFonts w:ascii="Times New Roman" w:hAnsi="Times New Roman" w:eastAsia="Times New Roman" w:cs="Cambria"/>
      <w:b/>
      <w:bCs/>
      <w:sz w:val="20"/>
      <w:szCs w:val="20"/>
      <w:lang w:eastAsia="ar-SA"/>
    </w:rPr>
  </w:style>
  <w:style w:type="character" w:styleId="TestofumettoCarattere" w:customStyle="1">
    <w:name w:val="Testo fumetto Carattere"/>
    <w:basedOn w:val="DefaultParagraphFont"/>
    <w:qFormat/>
    <w:rsid w:val="00c55d2e"/>
    <w:rPr>
      <w:rFonts w:ascii="Tahoma" w:hAnsi="Tahoma" w:eastAsia="Times New Roman" w:cs="Tahoma"/>
      <w:sz w:val="16"/>
      <w:szCs w:val="16"/>
      <w:lang w:eastAsia="ar-SA"/>
    </w:rPr>
  </w:style>
  <w:style w:type="character" w:styleId="WWCharLFO13LVL1" w:customStyle="1">
    <w:name w:val="WW_CharLFO13LVL1"/>
    <w:qFormat/>
    <w:rsid w:val="00c55d2e"/>
    <w:rPr>
      <w:rFonts w:ascii="Times New Roman" w:hAnsi="Times New Roman" w:eastAsia="Times New Roman" w:cs="Times New Roman"/>
    </w:rPr>
  </w:style>
  <w:style w:type="character" w:styleId="WWCharLFO13LVL2" w:customStyle="1">
    <w:name w:val="WW_CharLFO13LVL2"/>
    <w:qFormat/>
    <w:rsid w:val="00c55d2e"/>
    <w:rPr>
      <w:rFonts w:ascii="Courier New" w:hAnsi="Courier New" w:cs="Courier New"/>
    </w:rPr>
  </w:style>
  <w:style w:type="character" w:styleId="WWCharLFO13LVL3" w:customStyle="1">
    <w:name w:val="WW_CharLFO13LVL3"/>
    <w:qFormat/>
    <w:rsid w:val="00c55d2e"/>
    <w:rPr>
      <w:rFonts w:ascii="Wingdings" w:hAnsi="Wingdings"/>
    </w:rPr>
  </w:style>
  <w:style w:type="character" w:styleId="WWCharLFO13LVL4" w:customStyle="1">
    <w:name w:val="WW_CharLFO13LVL4"/>
    <w:qFormat/>
    <w:rsid w:val="00c55d2e"/>
    <w:rPr>
      <w:rFonts w:ascii="Symbol" w:hAnsi="Symbol"/>
    </w:rPr>
  </w:style>
  <w:style w:type="character" w:styleId="WWCharLFO13LVL5" w:customStyle="1">
    <w:name w:val="WW_CharLFO13LVL5"/>
    <w:qFormat/>
    <w:rsid w:val="00c55d2e"/>
    <w:rPr>
      <w:rFonts w:ascii="Courier New" w:hAnsi="Courier New" w:cs="Courier New"/>
    </w:rPr>
  </w:style>
  <w:style w:type="character" w:styleId="WWCharLFO13LVL6" w:customStyle="1">
    <w:name w:val="WW_CharLFO13LVL6"/>
    <w:qFormat/>
    <w:rsid w:val="00c55d2e"/>
    <w:rPr>
      <w:rFonts w:ascii="Wingdings" w:hAnsi="Wingdings"/>
    </w:rPr>
  </w:style>
  <w:style w:type="character" w:styleId="WWCharLFO13LVL7" w:customStyle="1">
    <w:name w:val="WW_CharLFO13LVL7"/>
    <w:qFormat/>
    <w:rsid w:val="00c55d2e"/>
    <w:rPr>
      <w:rFonts w:ascii="Symbol" w:hAnsi="Symbol"/>
    </w:rPr>
  </w:style>
  <w:style w:type="character" w:styleId="WWCharLFO13LVL8" w:customStyle="1">
    <w:name w:val="WW_CharLFO13LVL8"/>
    <w:qFormat/>
    <w:rsid w:val="00c55d2e"/>
    <w:rPr>
      <w:rFonts w:ascii="Courier New" w:hAnsi="Courier New" w:cs="Courier New"/>
    </w:rPr>
  </w:style>
  <w:style w:type="character" w:styleId="WWCharLFO13LVL9" w:customStyle="1">
    <w:name w:val="WW_CharLFO13LVL9"/>
    <w:qFormat/>
    <w:rsid w:val="00c55d2e"/>
    <w:rPr>
      <w:rFonts w:ascii="Wingdings" w:hAnsi="Wingdings"/>
    </w:rPr>
  </w:style>
  <w:style w:type="character" w:styleId="WWCharLFO15LVL1" w:customStyle="1">
    <w:name w:val="WW_CharLFO15LVL1"/>
    <w:qFormat/>
    <w:rsid w:val="00c55d2e"/>
    <w:rPr>
      <w:rFonts w:ascii="Times New Roman" w:hAnsi="Times New Roman" w:eastAsia="Calibri" w:cs="Times New Roman"/>
      <w:sz w:val="20"/>
    </w:rPr>
  </w:style>
  <w:style w:type="character" w:styleId="WWCharLFO15LVL2" w:customStyle="1">
    <w:name w:val="WW_CharLFO15LVL2"/>
    <w:qFormat/>
    <w:rsid w:val="00c55d2e"/>
    <w:rPr>
      <w:rFonts w:ascii="Courier New" w:hAnsi="Courier New" w:cs="Courier New"/>
    </w:rPr>
  </w:style>
  <w:style w:type="character" w:styleId="WWCharLFO15LVL3" w:customStyle="1">
    <w:name w:val="WW_CharLFO15LVL3"/>
    <w:qFormat/>
    <w:rsid w:val="00c55d2e"/>
    <w:rPr>
      <w:rFonts w:ascii="Wingdings" w:hAnsi="Wingdings"/>
    </w:rPr>
  </w:style>
  <w:style w:type="character" w:styleId="WWCharLFO15LVL4" w:customStyle="1">
    <w:name w:val="WW_CharLFO15LVL4"/>
    <w:qFormat/>
    <w:rsid w:val="00c55d2e"/>
    <w:rPr>
      <w:rFonts w:ascii="Symbol" w:hAnsi="Symbol"/>
    </w:rPr>
  </w:style>
  <w:style w:type="character" w:styleId="WWCharLFO15LVL5" w:customStyle="1">
    <w:name w:val="WW_CharLFO15LVL5"/>
    <w:qFormat/>
    <w:rsid w:val="00c55d2e"/>
    <w:rPr>
      <w:rFonts w:ascii="Courier New" w:hAnsi="Courier New" w:cs="Courier New"/>
    </w:rPr>
  </w:style>
  <w:style w:type="character" w:styleId="WWCharLFO15LVL6" w:customStyle="1">
    <w:name w:val="WW_CharLFO15LVL6"/>
    <w:qFormat/>
    <w:rsid w:val="00c55d2e"/>
    <w:rPr>
      <w:rFonts w:ascii="Wingdings" w:hAnsi="Wingdings"/>
    </w:rPr>
  </w:style>
  <w:style w:type="character" w:styleId="WWCharLFO15LVL7" w:customStyle="1">
    <w:name w:val="WW_CharLFO15LVL7"/>
    <w:qFormat/>
    <w:rsid w:val="00c55d2e"/>
    <w:rPr>
      <w:rFonts w:ascii="Symbol" w:hAnsi="Symbol"/>
    </w:rPr>
  </w:style>
  <w:style w:type="character" w:styleId="WWCharLFO15LVL8" w:customStyle="1">
    <w:name w:val="WW_CharLFO15LVL8"/>
    <w:qFormat/>
    <w:rsid w:val="00c55d2e"/>
    <w:rPr>
      <w:rFonts w:ascii="Courier New" w:hAnsi="Courier New" w:cs="Courier New"/>
    </w:rPr>
  </w:style>
  <w:style w:type="character" w:styleId="WWCharLFO15LVL9" w:customStyle="1">
    <w:name w:val="WW_CharLFO15LVL9"/>
    <w:qFormat/>
    <w:rsid w:val="00c55d2e"/>
    <w:rPr>
      <w:rFonts w:ascii="Wingdings" w:hAnsi="Wingdings"/>
    </w:rPr>
  </w:style>
  <w:style w:type="character" w:styleId="Caratteredellanota" w:customStyle="1">
    <w:name w:val="Carattere della nota"/>
    <w:qFormat/>
    <w:rsid w:val="00c55d2e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taapidipagina">
    <w:name w:val="Footnote Text"/>
    <w:basedOn w:val="Normal"/>
    <w:rsid w:val="00c55d2e"/>
    <w:pPr/>
    <w:rPr/>
  </w:style>
  <w:style w:type="paragraph" w:styleId="ListParagraph">
    <w:name w:val="List Paragraph"/>
    <w:basedOn w:val="Normal"/>
    <w:qFormat/>
    <w:rsid w:val="00c55d2e"/>
    <w:pPr>
      <w:ind w:left="357" w:hanging="357"/>
    </w:pPr>
    <w:rPr/>
  </w:style>
  <w:style w:type="paragraph" w:styleId="Titoloprincipale">
    <w:name w:val="Title"/>
    <w:basedOn w:val="Normal"/>
    <w:next w:val="Normal"/>
    <w:autoRedefine/>
    <w:qFormat/>
    <w:rsid w:val="00c55d2e"/>
    <w:p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styleId="Corpodeltesto1" w:customStyle="1">
    <w:name w:val="Corpo del testo1"/>
    <w:basedOn w:val="Normal"/>
    <w:qFormat/>
    <w:rsid w:val="00c55d2e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c55d2e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Pidipagina">
    <w:name w:val="Footer"/>
    <w:basedOn w:val="Normal"/>
    <w:rsid w:val="00c55d2e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Default" w:customStyle="1">
    <w:name w:val="Default"/>
    <w:qFormat/>
    <w:rsid w:val="00c55d2e"/>
    <w:pPr>
      <w:keepNext w:val="true"/>
      <w:widowControl/>
      <w:pBdr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it-IT" w:bidi="ar-SA"/>
    </w:rPr>
  </w:style>
  <w:style w:type="paragraph" w:styleId="Annotationtext">
    <w:name w:val="annotation text"/>
    <w:basedOn w:val="Normal"/>
    <w:qFormat/>
    <w:rsid w:val="00c55d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rsid w:val="00c55d2e"/>
    <w:pPr/>
    <w:rPr>
      <w:b/>
      <w:bCs/>
    </w:rPr>
  </w:style>
  <w:style w:type="paragraph" w:styleId="BalloonText">
    <w:name w:val="Balloon Text"/>
    <w:basedOn w:val="Normal"/>
    <w:qFormat/>
    <w:rsid w:val="00c55d2e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LibreOffice/7.0.2.2$Windows_X86_64 LibreOffice_project/8349ace3c3162073abd90d81fd06dcfb6b36b994</Application>
  <Pages>1</Pages>
  <Words>111</Words>
  <Characters>679</Characters>
  <CharactersWithSpaces>779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2021-07-01T15:12:00Z</dcterms:created>
  <dc:creator>i.siciliani</dc:creator>
  <dc:description/>
  <dc:language>it-IT</dc:language>
  <cp:lastModifiedBy>STEFY</cp:lastModifiedBy>
  <cp:lastPrinted>2018-02-28T15:30:00Z</cp:lastPrinted>
  <dcterms:modified xsi:type="dcterms:W3CDTF">2021-07-01T15:12:00Z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