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tabs>
          <w:tab w:val="center" w:leader="none" w:pos="4819"/>
          <w:tab w:val="right" w:leader="none" w:pos="9638"/>
        </w:tabs>
        <w:spacing w:after="0" w:line="240" w:lineRule="auto"/>
        <w:ind w:left="-283.46456692913375" w:right="-291.2598425196836" w:firstLine="0"/>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002">
      <w:pPr>
        <w:keepNext w:val="1"/>
        <w:spacing w:after="60" w:before="240" w:lineRule="auto"/>
        <w:ind w:left="-283.46456692913375" w:right="-291.2598425196836" w:firstLine="0"/>
        <w:jc w:val="center"/>
        <w:rPr>
          <w:rFonts w:ascii="Arial" w:cs="Arial" w:eastAsia="Arial" w:hAnsi="Arial"/>
          <w:b w:val="1"/>
          <w:smallCaps w:val="1"/>
        </w:rPr>
      </w:pPr>
      <w:bookmarkStart w:colFirst="0" w:colLast="0" w:name="_heading=h.2et92p0" w:id="0"/>
      <w:bookmarkEnd w:id="0"/>
      <w:r w:rsidDel="00000000" w:rsidR="00000000" w:rsidRPr="00000000">
        <w:rPr>
          <w:rFonts w:ascii="Arial" w:cs="Arial" w:eastAsia="Arial" w:hAnsi="Arial"/>
          <w:b w:val="1"/>
          <w:smallCaps w:val="1"/>
          <w:rtl w:val="0"/>
        </w:rPr>
        <w:t xml:space="preserve">DETERMINAZIONE  n. 194 del 21 novembre 2024 </w:t>
      </w:r>
    </w:p>
    <w:p w:rsidR="00000000" w:rsidDel="00000000" w:rsidP="00000000" w:rsidRDefault="00000000" w:rsidRPr="00000000" w14:paraId="00000003">
      <w:pPr>
        <w:keepNext w:val="1"/>
        <w:spacing w:after="60" w:before="240" w:lineRule="auto"/>
        <w:ind w:left="-283.46456692913375" w:right="-291.2598425196836" w:firstLine="0"/>
        <w:jc w:val="center"/>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IL DIRIGENTE POLITICHE ASSUNZIONALI, MOBILITA’ E SVILUPPO DELLE RISORSE UMANE</w:t>
      </w:r>
    </w:p>
    <w:p w:rsidR="00000000" w:rsidDel="00000000" w:rsidP="00000000" w:rsidRDefault="00000000" w:rsidRPr="00000000" w14:paraId="00000004">
      <w:pPr>
        <w:ind w:left="-283.46456692913375" w:right="-291.2598425196836"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05">
      <w:pPr>
        <w:spacing w:line="276" w:lineRule="auto"/>
        <w:ind w:left="-283.46456692913375" w:right="-291.2598425196836" w:firstLine="0"/>
        <w:jc w:val="both"/>
        <w:rPr>
          <w:rFonts w:ascii="Arial" w:cs="Arial" w:eastAsia="Arial" w:hAnsi="Arial"/>
        </w:rPr>
      </w:pPr>
      <w:r w:rsidDel="00000000" w:rsidR="00000000" w:rsidRPr="00000000">
        <w:rPr>
          <w:rFonts w:ascii="Arial" w:cs="Arial" w:eastAsia="Arial" w:hAnsi="Arial"/>
          <w:b w:val="1"/>
          <w:rtl w:val="0"/>
        </w:rPr>
        <w:t xml:space="preserve">OGGETTO</w:t>
      </w:r>
      <w:r w:rsidDel="00000000" w:rsidR="00000000" w:rsidRPr="00000000">
        <w:rPr>
          <w:rFonts w:ascii="Arial" w:cs="Arial" w:eastAsia="Arial" w:hAnsi="Arial"/>
          <w:rtl w:val="0"/>
        </w:rPr>
        <w:t xml:space="preserve">: Affidamento diretto, ai sensi dell’art. 50, co. 1, lett. b), del d.lgs 36/2023, della fornitura del servizio di erogazione del corso di formazione lingua inglese - decisione a contrarre</w:t>
      </w:r>
    </w:p>
    <w:p w:rsidR="00000000" w:rsidDel="00000000" w:rsidP="00000000" w:rsidRDefault="00000000" w:rsidRPr="00000000" w14:paraId="00000006">
      <w:pPr>
        <w:spacing w:after="0" w:before="401.48193359375" w:line="240" w:lineRule="auto"/>
        <w:ind w:left="-283.46456692913375" w:right="-291.2598425196836" w:firstLine="0"/>
        <w:rPr>
          <w:rFonts w:ascii="Arial" w:cs="Arial" w:eastAsia="Arial" w:hAnsi="Arial"/>
          <w:highlight w:val="white"/>
        </w:rPr>
      </w:pPr>
      <w:r w:rsidDel="00000000" w:rsidR="00000000" w:rsidRPr="00000000">
        <w:rPr>
          <w:rFonts w:ascii="Arial" w:cs="Arial" w:eastAsia="Arial" w:hAnsi="Arial"/>
          <w:b w:val="1"/>
          <w:highlight w:val="white"/>
          <w:rtl w:val="0"/>
        </w:rPr>
        <w:t xml:space="preserve">VISTO </w:t>
      </w:r>
      <w:r w:rsidDel="00000000" w:rsidR="00000000" w:rsidRPr="00000000">
        <w:rPr>
          <w:rFonts w:ascii="Arial" w:cs="Arial" w:eastAsia="Arial" w:hAnsi="Arial"/>
          <w:highlight w:val="white"/>
          <w:rtl w:val="0"/>
        </w:rPr>
        <w:t xml:space="preserve">il decreto legislativo 30 marzo 2001, n.165 e successive modifiche ed integrazioni; </w:t>
      </w:r>
    </w:p>
    <w:p w:rsidR="00000000" w:rsidDel="00000000" w:rsidP="00000000" w:rsidRDefault="00000000" w:rsidRPr="00000000" w14:paraId="00000007">
      <w:pPr>
        <w:spacing w:after="0" w:before="116.239013671875" w:line="229.88957405090332" w:lineRule="auto"/>
        <w:ind w:left="-283.46456692913375" w:right="-291.2598425196836" w:firstLine="0"/>
        <w:rPr>
          <w:rFonts w:ascii="Arial" w:cs="Arial" w:eastAsia="Arial" w:hAnsi="Arial"/>
          <w:highlight w:val="white"/>
        </w:rPr>
      </w:pPr>
      <w:r w:rsidDel="00000000" w:rsidR="00000000" w:rsidRPr="00000000">
        <w:rPr>
          <w:rFonts w:ascii="Arial" w:cs="Arial" w:eastAsia="Arial" w:hAnsi="Arial"/>
          <w:b w:val="1"/>
          <w:highlight w:val="white"/>
          <w:rtl w:val="0"/>
        </w:rPr>
        <w:t xml:space="preserve">VISTO </w:t>
      </w:r>
      <w:r w:rsidDel="00000000" w:rsidR="00000000" w:rsidRPr="00000000">
        <w:rPr>
          <w:rFonts w:ascii="Arial" w:cs="Arial" w:eastAsia="Arial" w:hAnsi="Arial"/>
          <w:highlight w:val="white"/>
          <w:rtl w:val="0"/>
        </w:rPr>
        <w:t xml:space="preserve">il Regolamento di Organizzazione dell’ACI deliberato dal Consiglio Generale ai sensi dell’art. 27 del citato decreto legislativo; </w:t>
      </w:r>
    </w:p>
    <w:p w:rsidR="00000000" w:rsidDel="00000000" w:rsidP="00000000" w:rsidRDefault="00000000" w:rsidRPr="00000000" w14:paraId="00000008">
      <w:pPr>
        <w:spacing w:after="0" w:before="125.5059814453125" w:line="229.88847255706787" w:lineRule="auto"/>
        <w:ind w:left="-283.46456692913375" w:right="-291.2598425196836"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VISTO </w:t>
      </w:r>
      <w:r w:rsidDel="00000000" w:rsidR="00000000" w:rsidRPr="00000000">
        <w:rPr>
          <w:rFonts w:ascii="Arial" w:cs="Arial" w:eastAsia="Arial" w:hAnsi="Arial"/>
          <w:highlight w:val="white"/>
          <w:rtl w:val="0"/>
        </w:rPr>
        <w:t xml:space="preserve">il “Regolamento per l'adeguamento ai principi generali di razionalizzazione e contenimento delle spese in ACI, per il triennio 2023-2025, approvato con delibera del Consiglio Generale dell'Ente nella seduta del 24 gennaio 2023, ai sensi e per gli effetti dell’articolo 2, commi 2 e 2-bis, del decreto legge 31 agosto 2013, n.101, convertito, con modificazioni, nella legge 30 ottobre 2013, n.125; </w:t>
      </w:r>
    </w:p>
    <w:p w:rsidR="00000000" w:rsidDel="00000000" w:rsidP="00000000" w:rsidRDefault="00000000" w:rsidRPr="00000000" w14:paraId="00000009">
      <w:pPr>
        <w:spacing w:after="0" w:before="125.5084228515625" w:line="229.88818645477295" w:lineRule="auto"/>
        <w:ind w:left="-283.46456692913375" w:right="-291.2598425196836"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VISTI </w:t>
      </w:r>
      <w:r w:rsidDel="00000000" w:rsidR="00000000" w:rsidRPr="00000000">
        <w:rPr>
          <w:rFonts w:ascii="Arial" w:cs="Arial" w:eastAsia="Arial" w:hAnsi="Arial"/>
          <w:highlight w:val="white"/>
          <w:rtl w:val="0"/>
        </w:rPr>
        <w:t xml:space="preserve">l’art. 2, comma 3 e l’art.17, comma 1, del D.P.R. 13 aprile 2013, n. 62 “Regolamento recante il Codice di comportamento dei dipendenti pubblici a norma dell’art. 54 del decreto legislativo 30 marzo 2001, n.165”; </w:t>
      </w:r>
    </w:p>
    <w:p w:rsidR="00000000" w:rsidDel="00000000" w:rsidP="00000000" w:rsidRDefault="00000000" w:rsidRPr="00000000" w14:paraId="0000000A">
      <w:pPr>
        <w:spacing w:after="0" w:before="125.5078125" w:line="229.8887586593628" w:lineRule="auto"/>
        <w:ind w:left="-283.46456692913375" w:right="-291.2598425196836"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VISTO </w:t>
      </w:r>
      <w:r w:rsidDel="00000000" w:rsidR="00000000" w:rsidRPr="00000000">
        <w:rPr>
          <w:rFonts w:ascii="Arial" w:cs="Arial" w:eastAsia="Arial" w:hAnsi="Arial"/>
          <w:highlight w:val="white"/>
          <w:rtl w:val="0"/>
        </w:rPr>
        <w:t xml:space="preserve">il Codice di comportamento dell’ACI, deliberato dal Consiglio Generale nella seduta del 20 febbraio 2014, modificato nella seduta del 22 luglio 2015 ed integrato nelle sedute del 31 gennaio 2017, dell’8 aprile 2021 e 24 gennaio 2024; </w:t>
      </w:r>
    </w:p>
    <w:p w:rsidR="00000000" w:rsidDel="00000000" w:rsidP="00000000" w:rsidRDefault="00000000" w:rsidRPr="00000000" w14:paraId="0000000B">
      <w:pPr>
        <w:spacing w:after="0" w:before="125.5059814453125" w:line="229.88867282867432" w:lineRule="auto"/>
        <w:ind w:left="-283.46456692913375" w:right="-291.2598425196836"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VISTO </w:t>
      </w:r>
      <w:r w:rsidDel="00000000" w:rsidR="00000000" w:rsidRPr="00000000">
        <w:rPr>
          <w:rFonts w:ascii="Arial" w:cs="Arial" w:eastAsia="Arial" w:hAnsi="Arial"/>
          <w:highlight w:val="white"/>
          <w:rtl w:val="0"/>
        </w:rPr>
        <w:t xml:space="preserve">il Regolamento dell’ACI di attuazione del sistema di prevenzione della corruzione, deliberato dal Consiglio Generale nella seduta del 29 ottobre 2015 ed integrato nelle sedute del 31 gennaio 2017 e dell’8 aprile 2019 ed approvato dal Comitato Esecutivo dell’Ente nella seduta del 23 marzo 2021, su delega del Consiglio Generale del 27 gennaio 2021; </w:t>
      </w:r>
    </w:p>
    <w:p w:rsidR="00000000" w:rsidDel="00000000" w:rsidP="00000000" w:rsidRDefault="00000000" w:rsidRPr="00000000" w14:paraId="0000000C">
      <w:pPr>
        <w:spacing w:after="0" w:before="125.5072021484375" w:line="229.88847255706787" w:lineRule="auto"/>
        <w:ind w:left="-283.46456692913375" w:right="-291.2598425196836" w:firstLine="0"/>
        <w:jc w:val="both"/>
        <w:rPr>
          <w:rFonts w:ascii="Arial" w:cs="Arial" w:eastAsia="Arial" w:hAnsi="Arial"/>
          <w:highlight w:val="white"/>
        </w:rPr>
      </w:pPr>
      <w:r w:rsidDel="00000000" w:rsidR="00000000" w:rsidRPr="00000000">
        <w:rPr>
          <w:rFonts w:ascii="Arial" w:cs="Arial" w:eastAsia="Arial" w:hAnsi="Arial"/>
          <w:b w:val="1"/>
          <w:color w:val="222222"/>
          <w:highlight w:val="white"/>
          <w:rtl w:val="0"/>
        </w:rPr>
        <w:t xml:space="preserve">VISTO </w:t>
      </w:r>
      <w:r w:rsidDel="00000000" w:rsidR="00000000" w:rsidRPr="00000000">
        <w:rPr>
          <w:rFonts w:ascii="Arial" w:cs="Arial" w:eastAsia="Arial" w:hAnsi="Arial"/>
          <w:color w:val="222222"/>
          <w:highlight w:val="white"/>
          <w:rtl w:val="0"/>
        </w:rPr>
        <w:t xml:space="preserve">il Piano Integrato di Attività e </w:t>
      </w:r>
      <w:r w:rsidDel="00000000" w:rsidR="00000000" w:rsidRPr="00000000">
        <w:rPr>
          <w:rFonts w:ascii="Arial" w:cs="Arial" w:eastAsia="Arial" w:hAnsi="Arial"/>
          <w:highlight w:val="white"/>
          <w:rtl w:val="0"/>
        </w:rPr>
        <w:t xml:space="preserve">Organizzazione della Federazione ACI 2024-2026 (PIAO), adottato con deliberazione del Consiglio Generale dell'Ente nella seduta del 24 gennaio 2024, in conformità al D.P.R. n. 81/2022 ed al DM 24 giugno 2022 ed, in particolare, la Sezione II: “Valore Pubblico, Performance e Anticorruzione”; </w:t>
      </w:r>
    </w:p>
    <w:p w:rsidR="00000000" w:rsidDel="00000000" w:rsidP="00000000" w:rsidRDefault="00000000" w:rsidRPr="00000000" w14:paraId="0000000D">
      <w:pPr>
        <w:spacing w:after="0" w:before="125.50750732421875" w:line="229.88792896270752" w:lineRule="auto"/>
        <w:ind w:left="-283.46456692913375" w:right="-291.2598425196836"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VISTO </w:t>
      </w:r>
      <w:r w:rsidDel="00000000" w:rsidR="00000000" w:rsidRPr="00000000">
        <w:rPr>
          <w:rFonts w:ascii="Arial" w:cs="Arial" w:eastAsia="Arial" w:hAnsi="Arial"/>
          <w:highlight w:val="white"/>
          <w:rtl w:val="0"/>
        </w:rPr>
        <w:t xml:space="preserve">il Regolamento di Amministrazione e Contabilità dell’ACI, adottato in applicazione dell’art. 13, comma 1, lett. o) del decreto legislativo del 29 ottobre 1999, n. 419 ed approvato dal Consiglio Generale nella seduta del 18 dicembre 2008 come modificato nel 2011;</w:t>
      </w:r>
    </w:p>
    <w:p w:rsidR="00000000" w:rsidDel="00000000" w:rsidP="00000000" w:rsidRDefault="00000000" w:rsidRPr="00000000" w14:paraId="0000000E">
      <w:pPr>
        <w:spacing w:after="0" w:before="125.50750732421875" w:line="229.88792896270752" w:lineRule="auto"/>
        <w:ind w:left="-283.46456692913375" w:right="-291.2598425196836"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VISTO</w:t>
      </w:r>
      <w:r w:rsidDel="00000000" w:rsidR="00000000" w:rsidRPr="00000000">
        <w:rPr>
          <w:rFonts w:ascii="Arial" w:cs="Arial" w:eastAsia="Arial" w:hAnsi="Arial"/>
          <w:highlight w:val="white"/>
          <w:rtl w:val="0"/>
        </w:rPr>
        <w:t xml:space="preserve"> il Regolamento di Organizzazione aggiornato al dicembre 2023, che all'articolo 7 stabilisce che, prima dell’inizio dell’esercizio, il Segretario Generale, sulla base del budget annuale e del piano generale delle attività deliberati dai competenti Organi, definisce il budget di gestione; </w:t>
      </w:r>
    </w:p>
    <w:p w:rsidR="00000000" w:rsidDel="00000000" w:rsidP="00000000" w:rsidRDefault="00000000" w:rsidRPr="00000000" w14:paraId="0000000F">
      <w:pPr>
        <w:spacing w:after="0" w:before="125.50933837890625" w:line="229.88847255706787" w:lineRule="auto"/>
        <w:ind w:left="-283.46456692913375" w:right="-291.2598425196836"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VISTO </w:t>
      </w:r>
      <w:r w:rsidDel="00000000" w:rsidR="00000000" w:rsidRPr="00000000">
        <w:rPr>
          <w:rFonts w:ascii="Arial" w:cs="Arial" w:eastAsia="Arial" w:hAnsi="Arial"/>
          <w:highlight w:val="white"/>
          <w:rtl w:val="0"/>
        </w:rPr>
        <w:t xml:space="preserve">il budget annuale per l'anno 2024, composto dal budget economico e dal budget degli investimenti e dismissioni, approvato dall'Assemblea dell'Ente nella seduta del 31 ottobre 2023;</w:t>
      </w:r>
    </w:p>
    <w:p w:rsidR="00000000" w:rsidDel="00000000" w:rsidP="00000000" w:rsidRDefault="00000000" w:rsidRPr="00000000" w14:paraId="00000010">
      <w:pPr>
        <w:spacing w:after="0" w:line="240" w:lineRule="auto"/>
        <w:ind w:left="-283.46456692913375" w:right="-291.2598425196836" w:firstLine="0"/>
        <w:rPr>
          <w:rFonts w:ascii="Arial" w:cs="Arial" w:eastAsia="Arial" w:hAnsi="Arial"/>
          <w:highlight w:val="white"/>
        </w:rPr>
      </w:pPr>
      <w:r w:rsidDel="00000000" w:rsidR="00000000" w:rsidRPr="00000000">
        <w:rPr>
          <w:rtl w:val="0"/>
        </w:rPr>
      </w:r>
    </w:p>
    <w:p w:rsidR="00000000" w:rsidDel="00000000" w:rsidP="00000000" w:rsidRDefault="00000000" w:rsidRPr="00000000" w14:paraId="00000011">
      <w:pPr>
        <w:spacing w:after="0" w:line="229.88847255706787" w:lineRule="auto"/>
        <w:ind w:left="-283.46456692913375" w:right="-291.2598425196836"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VISTA </w:t>
      </w:r>
      <w:r w:rsidDel="00000000" w:rsidR="00000000" w:rsidRPr="00000000">
        <w:rPr>
          <w:rFonts w:ascii="Arial" w:cs="Arial" w:eastAsia="Arial" w:hAnsi="Arial"/>
          <w:highlight w:val="white"/>
          <w:rtl w:val="0"/>
        </w:rPr>
        <w:t xml:space="preserve">la determinazione del Segretario Generale dell’Ente n. 3691 del 23 novembre 2023, con la quale - sulla base del predetto budget di gestione per l’anno 2024 - i Dirigenti preposti agli uffici di livello Dirigenziale Generale della Sede Centrale sono delegati ad adottare atti e provvedimenti (determina a contrarre ed affidamento) per l’acquisizione di beni e la fornitura di servizi e prestazioni presenti nella programmazione triennale, comportanti autorizzazioni della spesa di importo anche superiore a € 300.000,00, a valere sulle voci di budget assegnate ai rispettivi Centri di Responsabilità. </w:t>
      </w:r>
    </w:p>
    <w:p w:rsidR="00000000" w:rsidDel="00000000" w:rsidP="00000000" w:rsidRDefault="00000000" w:rsidRPr="00000000" w14:paraId="00000012">
      <w:pPr>
        <w:spacing w:after="0" w:line="229.88847255706787" w:lineRule="auto"/>
        <w:ind w:left="-283.46456692913375" w:right="-291.2598425196836"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13">
      <w:pPr>
        <w:widowControl w:val="1"/>
        <w:spacing w:after="0" w:line="240" w:lineRule="auto"/>
        <w:ind w:left="-283.46456692913375" w:right="-291.2598425196836"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RILEVATO </w:t>
      </w:r>
      <w:r w:rsidDel="00000000" w:rsidR="00000000" w:rsidRPr="00000000">
        <w:rPr>
          <w:rFonts w:ascii="Arial" w:cs="Arial" w:eastAsia="Arial" w:hAnsi="Arial"/>
          <w:highlight w:val="white"/>
          <w:rtl w:val="0"/>
        </w:rPr>
        <w:t xml:space="preserve">che con la stessa determinazione di cui al punto precedente è previsto che i Dirigenti preposti agli Uffici di livello dirigenziale generale possono delegare l’esercizio del potere di spesa nei confronti dei Dirigenti di secondo livello entro un importo di € 100.000,00;</w:t>
      </w:r>
    </w:p>
    <w:p w:rsidR="00000000" w:rsidDel="00000000" w:rsidP="00000000" w:rsidRDefault="00000000" w:rsidRPr="00000000" w14:paraId="00000014">
      <w:pPr>
        <w:widowControl w:val="1"/>
        <w:spacing w:after="0" w:line="240" w:lineRule="auto"/>
        <w:ind w:left="-283.46456692913375" w:right="-291.2598425196836" w:firstLine="0"/>
        <w:jc w:val="both"/>
        <w:rPr>
          <w:rFonts w:ascii="Arial" w:cs="Arial" w:eastAsia="Arial" w:hAnsi="Arial"/>
          <w:highlight w:val="white"/>
        </w:rPr>
      </w:pPr>
      <w:r w:rsidDel="00000000" w:rsidR="00000000" w:rsidRPr="00000000">
        <w:rPr>
          <w:rtl w:val="0"/>
        </w:rPr>
      </w:r>
    </w:p>
    <w:p w:rsidR="00000000" w:rsidDel="00000000" w:rsidP="00000000" w:rsidRDefault="00000000" w:rsidRPr="00000000" w14:paraId="00000015">
      <w:pPr>
        <w:widowControl w:val="1"/>
        <w:spacing w:after="0" w:line="240" w:lineRule="auto"/>
        <w:ind w:left="-283.46456692913375" w:right="-291.2598425196836" w:firstLine="0"/>
        <w:jc w:val="both"/>
        <w:rPr>
          <w:rFonts w:ascii="Arial" w:cs="Arial" w:eastAsia="Arial" w:hAnsi="Arial"/>
        </w:rPr>
      </w:pPr>
      <w:r w:rsidDel="00000000" w:rsidR="00000000" w:rsidRPr="00000000">
        <w:rPr>
          <w:rFonts w:ascii="Arial" w:cs="Arial" w:eastAsia="Arial" w:hAnsi="Arial"/>
          <w:b w:val="1"/>
          <w:rtl w:val="0"/>
        </w:rPr>
        <w:t xml:space="preserve">VISTA</w:t>
      </w:r>
      <w:r w:rsidDel="00000000" w:rsidR="00000000" w:rsidRPr="00000000">
        <w:rPr>
          <w:rFonts w:ascii="Arial" w:cs="Arial" w:eastAsia="Arial" w:hAnsi="Arial"/>
          <w:rtl w:val="0"/>
        </w:rPr>
        <w:t xml:space="preserve"> la determinazione n. 124 del 29 luglio 2024, con la quale il Direttore Centrale della Direzione Risorse Umane e Organizzazione ha delegato la dott.ssa Antonella Palumbo, Dirigente dell’Ufficio Politiche Assunzionali, Mobilità e Sviluppo Risorse Umane, all’adozione di provvedimenti e di atti per l’acquisizione di beni e la fornitura di servizi e prestazioni connessi alle attività di competenza dell’Ufficio, comportanti autorizzazioni alla spesa di importo unitario non superiore a € 100.000 e comunque nei limiti delle voci di budget assegnate alla gestione dei propri centri di responsabilità;</w:t>
      </w:r>
    </w:p>
    <w:p w:rsidR="00000000" w:rsidDel="00000000" w:rsidP="00000000" w:rsidRDefault="00000000" w:rsidRPr="00000000" w14:paraId="00000016">
      <w:pPr>
        <w:widowControl w:val="1"/>
        <w:spacing w:after="0" w:line="240" w:lineRule="auto"/>
        <w:ind w:left="-283.46456692913375" w:right="-291.2598425196836" w:firstLine="0"/>
        <w:jc w:val="both"/>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17">
      <w:pPr>
        <w:spacing w:after="0" w:before="125.5078125" w:line="229.88810062408447" w:lineRule="auto"/>
        <w:ind w:left="-283.46456692913375" w:right="-291.2598425196836"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VISTO </w:t>
      </w:r>
      <w:r w:rsidDel="00000000" w:rsidR="00000000" w:rsidRPr="00000000">
        <w:rPr>
          <w:rFonts w:ascii="Arial" w:cs="Arial" w:eastAsia="Arial" w:hAnsi="Arial"/>
          <w:highlight w:val="white"/>
          <w:rtl w:val="0"/>
        </w:rPr>
        <w:t xml:space="preserve">il D.Lgs n. 36 del 31 marzo 2023 recante </w:t>
      </w:r>
      <w:r w:rsidDel="00000000" w:rsidR="00000000" w:rsidRPr="00000000">
        <w:rPr>
          <w:rFonts w:ascii="Arial" w:cs="Arial" w:eastAsia="Arial" w:hAnsi="Arial"/>
          <w:color w:val="444444"/>
          <w:highlight w:val="white"/>
          <w:rtl w:val="0"/>
        </w:rPr>
        <w:t xml:space="preserve">«</w:t>
      </w:r>
      <w:r w:rsidDel="00000000" w:rsidR="00000000" w:rsidRPr="00000000">
        <w:rPr>
          <w:rFonts w:ascii="Arial" w:cs="Arial" w:eastAsia="Arial" w:hAnsi="Arial"/>
          <w:i w:val="1"/>
          <w:color w:val="444444"/>
          <w:highlight w:val="white"/>
          <w:rtl w:val="0"/>
        </w:rPr>
        <w:t xml:space="preserve">Codice dei contratti pubblici in attuazione dell'articolo 1 della legge 21 giugno 2022, n. 78, recante delega al Governo in materia di contratti pubblici</w:t>
      </w:r>
      <w:r w:rsidDel="00000000" w:rsidR="00000000" w:rsidRPr="00000000">
        <w:rPr>
          <w:rFonts w:ascii="Arial" w:cs="Arial" w:eastAsia="Arial" w:hAnsi="Arial"/>
          <w:color w:val="444444"/>
          <w:highlight w:val="white"/>
          <w:rtl w:val="0"/>
        </w:rPr>
        <w:t xml:space="preserve">», corredato delle relative note</w:t>
      </w:r>
      <w:r w:rsidDel="00000000" w:rsidR="00000000" w:rsidRPr="00000000">
        <w:rPr>
          <w:rFonts w:ascii="Arial" w:cs="Arial" w:eastAsia="Arial" w:hAnsi="Arial"/>
          <w:highlight w:val="white"/>
          <w:rtl w:val="0"/>
        </w:rPr>
        <w:t xml:space="preserve">, entrato in vigore il 1 aprile 2023 e che ha acquisito efficacia dal 1 luglio 2023;</w:t>
      </w:r>
    </w:p>
    <w:p w:rsidR="00000000" w:rsidDel="00000000" w:rsidP="00000000" w:rsidRDefault="00000000" w:rsidRPr="00000000" w14:paraId="00000018">
      <w:pPr>
        <w:spacing w:after="0" w:before="125.5078125" w:line="229.88810062408447" w:lineRule="auto"/>
        <w:ind w:left="-283.46456692913375" w:right="-291.2598425196836"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19">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283.46456692913375" w:right="-291.2598425196836"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VISTO</w:t>
      </w:r>
      <w:r w:rsidDel="00000000" w:rsidR="00000000" w:rsidRPr="00000000">
        <w:rPr>
          <w:rFonts w:ascii="Arial" w:cs="Arial" w:eastAsia="Arial" w:hAnsi="Arial"/>
          <w:highlight w:val="white"/>
          <w:rtl w:val="0"/>
        </w:rPr>
        <w:t xml:space="preserve">, in particolare, l’art. 17, commi 1-2, del Codice dei contratti pubblici, il quale prevede che, prima dell’avvio delle procedure di affidamento dei contratti pubblici le stazioni appaltanti e gli enti concedenti, con apposito atto, adottano la decisione di contrarre individuando gli elementi essenziali del contratto e i criteri di selezione degli operatori economici e delle offerte e, che in caso di affidamento diretto, l’atto di cui al comma 1 individua l’oggetto, l’importo e il contraente, unitamente alle ragioni della sua scelta, ai requisiti di carattere generale e, se necessari, a quelli inerenti alla capacità economico-finanziaria e tecnico-professionale.</w:t>
      </w:r>
    </w:p>
    <w:p w:rsidR="00000000" w:rsidDel="00000000" w:rsidP="00000000" w:rsidRDefault="00000000" w:rsidRPr="00000000" w14:paraId="0000001A">
      <w:pPr>
        <w:spacing w:line="240" w:lineRule="auto"/>
        <w:ind w:left="-283.46456692913375" w:right="-291.2598425196836"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CONSIDERATO</w:t>
      </w:r>
      <w:r w:rsidDel="00000000" w:rsidR="00000000" w:rsidRPr="00000000">
        <w:rPr>
          <w:rFonts w:ascii="Arial" w:cs="Arial" w:eastAsia="Arial" w:hAnsi="Arial"/>
          <w:highlight w:val="white"/>
          <w:rtl w:val="0"/>
        </w:rPr>
        <w:t xml:space="preserve"> che l’Automobile Club d’Italia è iscritto a tale Anagrafe con codice AUSA:0000163815, come risulta dal sito ANAC;</w:t>
      </w:r>
    </w:p>
    <w:p w:rsidR="00000000" w:rsidDel="00000000" w:rsidP="00000000" w:rsidRDefault="00000000" w:rsidRPr="00000000" w14:paraId="0000001B">
      <w:pPr>
        <w:spacing w:line="240" w:lineRule="auto"/>
        <w:ind w:left="-283.46456692913375" w:right="-291.2598425196836" w:firstLine="0"/>
        <w:jc w:val="both"/>
        <w:rPr>
          <w:rFonts w:ascii="Arial" w:cs="Arial" w:eastAsia="Arial" w:hAnsi="Arial"/>
          <w:highlight w:val="white"/>
        </w:rPr>
      </w:pPr>
      <w:r w:rsidDel="00000000" w:rsidR="00000000" w:rsidRPr="00000000">
        <w:rPr>
          <w:rFonts w:ascii="Arial" w:cs="Arial" w:eastAsia="Arial" w:hAnsi="Arial"/>
          <w:b w:val="1"/>
          <w:highlight w:val="white"/>
          <w:rtl w:val="0"/>
        </w:rPr>
        <w:t xml:space="preserve">VISTI</w:t>
      </w:r>
      <w:r w:rsidDel="00000000" w:rsidR="00000000" w:rsidRPr="00000000">
        <w:rPr>
          <w:rFonts w:ascii="Arial" w:cs="Arial" w:eastAsia="Arial" w:hAnsi="Arial"/>
          <w:highlight w:val="white"/>
          <w:rtl w:val="0"/>
        </w:rPr>
        <w:t xml:space="preserve"> gli articoli 9 e 10 del Manuale delle Procedure negoziali dell’Ente, approvato con determinazione del Segretario Generale n. 3083 del 21.11.2012 e aggiornato con Deliberazione del Comitato Esecutivo nella riunione del 16 maggio 2018 in merito alle competenze in materia contrattuale ed ad adottare le determinazioni a contrarre;</w:t>
      </w:r>
    </w:p>
    <w:p w:rsidR="00000000" w:rsidDel="00000000" w:rsidP="00000000" w:rsidRDefault="00000000" w:rsidRPr="00000000" w14:paraId="0000001C">
      <w:pPr>
        <w:spacing w:line="240" w:lineRule="auto"/>
        <w:ind w:left="-283.46456692913375" w:right="-291.2598425196836" w:firstLine="0"/>
        <w:jc w:val="both"/>
        <w:rPr>
          <w:rFonts w:ascii="Arial" w:cs="Arial" w:eastAsia="Arial" w:hAnsi="Arial"/>
          <w:b w:val="1"/>
          <w:highlight w:val="white"/>
        </w:rPr>
      </w:pPr>
      <w:r w:rsidDel="00000000" w:rsidR="00000000" w:rsidRPr="00000000">
        <w:rPr>
          <w:rFonts w:ascii="Arial" w:cs="Arial" w:eastAsia="Arial" w:hAnsi="Arial"/>
          <w:b w:val="1"/>
          <w:color w:val="222222"/>
          <w:highlight w:val="white"/>
          <w:rtl w:val="0"/>
        </w:rPr>
        <w:t xml:space="preserve">PRESO ATTO </w:t>
      </w:r>
      <w:r w:rsidDel="00000000" w:rsidR="00000000" w:rsidRPr="00000000">
        <w:rPr>
          <w:rFonts w:ascii="Arial" w:cs="Arial" w:eastAsia="Arial" w:hAnsi="Arial"/>
          <w:color w:val="222222"/>
          <w:highlight w:val="white"/>
          <w:rtl w:val="0"/>
        </w:rPr>
        <w:t xml:space="preserve">dell’art. 15 del Codice dei contratti, il quale stabilisce che il primo atto di avvio dell’intervento pubblico da realizzare mediante un contratto è la nomina di un responsabile unico del progetto (RUP) per le fasi di programmazione, progettazione, affidamento e per l’esecuzione di ciascuna procedura scelto tra i dipendenti in possesso dei requisiti previsti dalla legge;</w:t>
      </w:r>
      <w:r w:rsidDel="00000000" w:rsidR="00000000" w:rsidRPr="00000000">
        <w:rPr>
          <w:rtl w:val="0"/>
        </w:rPr>
      </w:r>
    </w:p>
    <w:p w:rsidR="00000000" w:rsidDel="00000000" w:rsidP="00000000" w:rsidRDefault="00000000" w:rsidRPr="00000000" w14:paraId="0000001D">
      <w:pPr>
        <w:spacing w:line="240" w:lineRule="auto"/>
        <w:ind w:left="-283.46456692913375" w:right="-291.2598425196836" w:firstLine="0"/>
        <w:jc w:val="both"/>
        <w:rPr>
          <w:rFonts w:ascii="Arial" w:cs="Arial" w:eastAsia="Arial" w:hAnsi="Arial"/>
        </w:rPr>
      </w:pPr>
      <w:r w:rsidDel="00000000" w:rsidR="00000000" w:rsidRPr="00000000">
        <w:rPr>
          <w:rFonts w:ascii="Arial" w:cs="Arial" w:eastAsia="Arial" w:hAnsi="Arial"/>
          <w:b w:val="1"/>
          <w:rtl w:val="0"/>
        </w:rPr>
        <w:t xml:space="preserve">VISTA </w:t>
      </w:r>
      <w:r w:rsidDel="00000000" w:rsidR="00000000" w:rsidRPr="00000000">
        <w:rPr>
          <w:rFonts w:ascii="Arial" w:cs="Arial" w:eastAsia="Arial" w:hAnsi="Arial"/>
          <w:rtl w:val="0"/>
        </w:rPr>
        <w:t xml:space="preserve">la Direttiva del Ministro per la pubblica amministrazione contenente “Pianificazione della formazione e sviluppo delle competenze funzionali alla transizione digitale, ecologica e amministrativa promosse dal Piano Nazionale di Ripresa e Resilienza” del 24 marzo 2023 la quale prevede  che pubbliche amministrazioni  individuano obiettivi formativi di carattere generale, come indicati nel Piano Nazionale di Ripresa e Resilienza, potenzialmente rivolti a tutti i dipendenti e obiettivi formativi specifici, connessi a finalità strategiche dell’amministrazione, a obiettivi di performance e/o relativi a particolari figure/famiglie professionali.</w:t>
      </w:r>
    </w:p>
    <w:p w:rsidR="00000000" w:rsidDel="00000000" w:rsidP="00000000" w:rsidRDefault="00000000" w:rsidRPr="00000000" w14:paraId="0000001E">
      <w:pPr>
        <w:spacing w:line="240" w:lineRule="auto"/>
        <w:ind w:left="-283.46456692913375" w:right="-291.2598425196836" w:firstLine="0"/>
        <w:jc w:val="both"/>
        <w:rPr>
          <w:rFonts w:ascii="Arial" w:cs="Arial" w:eastAsia="Arial" w:hAnsi="Arial"/>
        </w:rPr>
      </w:pPr>
      <w:r w:rsidDel="00000000" w:rsidR="00000000" w:rsidRPr="00000000">
        <w:rPr>
          <w:rFonts w:ascii="Arial" w:cs="Arial" w:eastAsia="Arial" w:hAnsi="Arial"/>
          <w:b w:val="1"/>
          <w:rtl w:val="0"/>
        </w:rPr>
        <w:t xml:space="preserve">VISTI </w:t>
      </w:r>
      <w:r w:rsidDel="00000000" w:rsidR="00000000" w:rsidRPr="00000000">
        <w:rPr>
          <w:rFonts w:ascii="Arial" w:cs="Arial" w:eastAsia="Arial" w:hAnsi="Arial"/>
          <w:rtl w:val="0"/>
        </w:rPr>
        <w:t xml:space="preserve">i piani formativi assegnati da ciascun dirigente al personale a lui assegnato;</w:t>
      </w:r>
    </w:p>
    <w:p w:rsidR="00000000" w:rsidDel="00000000" w:rsidP="00000000" w:rsidRDefault="00000000" w:rsidRPr="00000000" w14:paraId="0000001F">
      <w:pPr>
        <w:spacing w:line="240" w:lineRule="auto"/>
        <w:ind w:left="-283.46456692913375" w:right="-291.2598425196836" w:firstLine="0"/>
        <w:jc w:val="both"/>
        <w:rPr>
          <w:rFonts w:ascii="Arial" w:cs="Arial" w:eastAsia="Arial" w:hAnsi="Arial"/>
        </w:rPr>
      </w:pPr>
      <w:r w:rsidDel="00000000" w:rsidR="00000000" w:rsidRPr="00000000">
        <w:rPr>
          <w:rFonts w:ascii="Arial" w:cs="Arial" w:eastAsia="Arial" w:hAnsi="Arial"/>
          <w:b w:val="1"/>
          <w:rtl w:val="0"/>
        </w:rPr>
        <w:t xml:space="preserve">RILEVATO </w:t>
      </w:r>
      <w:r w:rsidDel="00000000" w:rsidR="00000000" w:rsidRPr="00000000">
        <w:rPr>
          <w:rFonts w:ascii="Arial" w:cs="Arial" w:eastAsia="Arial" w:hAnsi="Arial"/>
          <w:rtl w:val="0"/>
        </w:rPr>
        <w:t xml:space="preserve">che tra gli obiettivi assegnati sia al personale delle Aree sia a quello dirigente vi è quello del rafforzamento delle competenze linguistiche;</w:t>
      </w:r>
    </w:p>
    <w:p w:rsidR="00000000" w:rsidDel="00000000" w:rsidP="00000000" w:rsidRDefault="00000000" w:rsidRPr="00000000" w14:paraId="00000020">
      <w:pPr>
        <w:spacing w:line="240" w:lineRule="auto"/>
        <w:ind w:left="-283.46456692913375" w:right="-291.2598425196836" w:firstLine="0"/>
        <w:jc w:val="both"/>
        <w:rPr>
          <w:rFonts w:ascii="Arial" w:cs="Arial" w:eastAsia="Arial" w:hAnsi="Arial"/>
          <w:color w:val="222222"/>
        </w:rPr>
      </w:pPr>
      <w:r w:rsidDel="00000000" w:rsidR="00000000" w:rsidRPr="00000000">
        <w:rPr>
          <w:rFonts w:ascii="Arial" w:cs="Arial" w:eastAsia="Arial" w:hAnsi="Arial"/>
          <w:b w:val="1"/>
          <w:rtl w:val="0"/>
        </w:rPr>
        <w:t xml:space="preserve">VISTA </w:t>
      </w:r>
      <w:r w:rsidDel="00000000" w:rsidR="00000000" w:rsidRPr="00000000">
        <w:rPr>
          <w:rFonts w:ascii="Arial" w:cs="Arial" w:eastAsia="Arial" w:hAnsi="Arial"/>
          <w:rtl w:val="0"/>
        </w:rPr>
        <w:t xml:space="preserve">l’analisi di mercato effettuato tra i principali operatori del settore ed effettuata una stima del valore economico di un servizio di formazione linguistica così articolato in </w:t>
      </w:r>
      <w:r w:rsidDel="00000000" w:rsidR="00000000" w:rsidRPr="00000000">
        <w:rPr>
          <w:rFonts w:ascii="Arial" w:cs="Arial" w:eastAsia="Arial" w:hAnsi="Arial"/>
          <w:color w:val="222222"/>
          <w:rtl w:val="0"/>
        </w:rPr>
        <w:t xml:space="preserve">corsi individuali per i direttori, corsi collettivi in presenza per i dirigenti di seconda fascia e funzionari operanti in settori aventi relazioni con l’estero, nonché licenze in autoapprendimento;</w:t>
      </w:r>
    </w:p>
    <w:p w:rsidR="00000000" w:rsidDel="00000000" w:rsidP="00000000" w:rsidRDefault="00000000" w:rsidRPr="00000000" w14:paraId="00000021">
      <w:pPr>
        <w:spacing w:line="240" w:lineRule="auto"/>
        <w:ind w:left="-283.46456692913375" w:right="-291.2598425196836" w:firstLine="0"/>
        <w:jc w:val="both"/>
        <w:rPr>
          <w:rFonts w:ascii="Arial" w:cs="Arial" w:eastAsia="Arial" w:hAnsi="Arial"/>
        </w:rPr>
      </w:pPr>
      <w:r w:rsidDel="00000000" w:rsidR="00000000" w:rsidRPr="00000000">
        <w:rPr>
          <w:rFonts w:ascii="Arial" w:cs="Arial" w:eastAsia="Arial" w:hAnsi="Arial"/>
          <w:b w:val="1"/>
          <w:color w:val="222222"/>
          <w:rtl w:val="0"/>
        </w:rPr>
        <w:t xml:space="preserve">VALUTATO </w:t>
      </w:r>
      <w:r w:rsidDel="00000000" w:rsidR="00000000" w:rsidRPr="00000000">
        <w:rPr>
          <w:rFonts w:ascii="Arial" w:cs="Arial" w:eastAsia="Arial" w:hAnsi="Arial"/>
          <w:color w:val="222222"/>
          <w:rtl w:val="0"/>
        </w:rPr>
        <w:t xml:space="preserve">opportuno procedere con la stipula di un contratto a consumo che consenta anche per l’anno 2025 di rispondere alle esigenze formative linguistiche che saranno individuate tra il personale;</w:t>
      </w:r>
      <w:r w:rsidDel="00000000" w:rsidR="00000000" w:rsidRPr="00000000">
        <w:rPr>
          <w:rtl w:val="0"/>
        </w:rPr>
      </w:r>
    </w:p>
    <w:p w:rsidR="00000000" w:rsidDel="00000000" w:rsidP="00000000" w:rsidRDefault="00000000" w:rsidRPr="00000000" w14:paraId="00000022">
      <w:pPr>
        <w:widowControl w:val="1"/>
        <w:tabs>
          <w:tab w:val="left" w:leader="none" w:pos="9498"/>
        </w:tabs>
        <w:spacing w:after="0" w:line="240" w:lineRule="auto"/>
        <w:ind w:left="-283.46456692913375" w:right="-291.2598425196836" w:firstLine="0"/>
        <w:jc w:val="both"/>
        <w:rPr>
          <w:rFonts w:ascii="Arial" w:cs="Arial" w:eastAsia="Arial" w:hAnsi="Arial"/>
        </w:rPr>
      </w:pPr>
      <w:r w:rsidDel="00000000" w:rsidR="00000000" w:rsidRPr="00000000">
        <w:rPr>
          <w:rFonts w:ascii="Arial" w:cs="Arial" w:eastAsia="Arial" w:hAnsi="Arial"/>
          <w:b w:val="1"/>
          <w:rtl w:val="0"/>
        </w:rPr>
        <w:t xml:space="preserve">CONSIDERATO </w:t>
      </w:r>
      <w:r w:rsidDel="00000000" w:rsidR="00000000" w:rsidRPr="00000000">
        <w:rPr>
          <w:rFonts w:ascii="Arial" w:cs="Arial" w:eastAsia="Arial" w:hAnsi="Arial"/>
          <w:rtl w:val="0"/>
        </w:rPr>
        <w:t xml:space="preserve">che per lo svolgimento delle procedure di affidamento sotto la soglia di rilievo comunitario, le stazioni appaltanti possono procedere attraverso un mercato elettronico che consenta acquisti telematici basati su un sistema che attua procedure di scelta del contraente interamente gestite per via elettronica ed il Ministero dell’Economia e delle Finanze, avvalendosi di CONSIP s.p.a., mette a disposizione delle stazioni appaltanti il MEPA, sul quale si può acquistare con ordine diretto d'acquisto (OdA), richiesta di offerta (RdO) e trattativa diretta (TD);</w:t>
      </w:r>
    </w:p>
    <w:p w:rsidR="00000000" w:rsidDel="00000000" w:rsidP="00000000" w:rsidRDefault="00000000" w:rsidRPr="00000000" w14:paraId="00000023">
      <w:pPr>
        <w:widowControl w:val="1"/>
        <w:tabs>
          <w:tab w:val="left" w:leader="none" w:pos="9498"/>
        </w:tabs>
        <w:spacing w:after="0" w:line="240" w:lineRule="auto"/>
        <w:ind w:left="-283.46456692913375" w:right="-291.259842519683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4">
      <w:pPr>
        <w:keepLines w:val="1"/>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ind w:left="-283.46456692913375" w:right="-291.2598425196836" w:firstLine="0"/>
        <w:jc w:val="both"/>
        <w:rPr>
          <w:rFonts w:ascii="Arial" w:cs="Arial" w:eastAsia="Arial" w:hAnsi="Arial"/>
        </w:rPr>
      </w:pPr>
      <w:r w:rsidDel="00000000" w:rsidR="00000000" w:rsidRPr="00000000">
        <w:rPr>
          <w:rFonts w:ascii="Arial" w:cs="Arial" w:eastAsia="Arial" w:hAnsi="Arial"/>
          <w:b w:val="1"/>
          <w:rtl w:val="0"/>
        </w:rPr>
        <w:t xml:space="preserve">VISTO </w:t>
      </w:r>
      <w:r w:rsidDel="00000000" w:rsidR="00000000" w:rsidRPr="00000000">
        <w:rPr>
          <w:rFonts w:ascii="Arial" w:cs="Arial" w:eastAsia="Arial" w:hAnsi="Arial"/>
          <w:rtl w:val="0"/>
        </w:rPr>
        <w:t xml:space="preserve">l’art. 15 del D.Lgs. 31 marzo 2023, n. 36 e l’art.6-bis della Legge n.241/1990, introdotto dalla Legge n.190/2012, relativi all’obbligo di astensione dall’incarico del RUP in caso di conflitto di interessi, segnalando ogni situazione di conflitto, anche potenziale;</w:t>
      </w:r>
    </w:p>
    <w:p w:rsidR="00000000" w:rsidDel="00000000" w:rsidP="00000000" w:rsidRDefault="00000000" w:rsidRPr="00000000" w14:paraId="00000025">
      <w:pPr>
        <w:spacing w:line="240" w:lineRule="auto"/>
        <w:ind w:left="-283.46456692913375" w:right="-291.2598425196836" w:firstLine="0"/>
        <w:jc w:val="both"/>
        <w:rPr>
          <w:rFonts w:ascii="Arial" w:cs="Arial" w:eastAsia="Arial" w:hAnsi="Arial"/>
          <w:sz w:val="2"/>
          <w:szCs w:val="2"/>
        </w:rPr>
      </w:pPr>
      <w:r w:rsidDel="00000000" w:rsidR="00000000" w:rsidRPr="00000000">
        <w:rPr>
          <w:rFonts w:ascii="Arial" w:cs="Arial" w:eastAsia="Arial" w:hAnsi="Arial"/>
          <w:b w:val="1"/>
          <w:rtl w:val="0"/>
        </w:rPr>
        <w:t xml:space="preserve">VISTA</w:t>
      </w:r>
      <w:r w:rsidDel="00000000" w:rsidR="00000000" w:rsidRPr="00000000">
        <w:rPr>
          <w:rFonts w:ascii="Arial" w:cs="Arial" w:eastAsia="Arial" w:hAnsi="Arial"/>
          <w:rtl w:val="0"/>
        </w:rPr>
        <w:t xml:space="preserve"> la legge 13 agosto 2010, n. 136 ed, in particolare l’art. 3, relativamente alla disciplina sulla tracciabilità dei flussi finanziari e il decreto legislativo 14 marzo 2013, n. 33 relativo agli obblighi di pubblicità, trasparenza e diffusione di informazioni da parte delle pubbliche amministrazioni;</w:t>
      </w:r>
      <w:r w:rsidDel="00000000" w:rsidR="00000000" w:rsidRPr="00000000">
        <w:rPr>
          <w:rtl w:val="0"/>
        </w:rPr>
      </w:r>
    </w:p>
    <w:p w:rsidR="00000000" w:rsidDel="00000000" w:rsidP="00000000" w:rsidRDefault="00000000" w:rsidRPr="00000000" w14:paraId="00000026">
      <w:pPr>
        <w:widowControl w:val="1"/>
        <w:spacing w:line="240" w:lineRule="auto"/>
        <w:ind w:left="-283.46456692913375" w:right="-291.2598425196836" w:firstLine="0"/>
        <w:jc w:val="both"/>
        <w:rPr>
          <w:rFonts w:ascii="Arial" w:cs="Arial" w:eastAsia="Arial" w:hAnsi="Arial"/>
        </w:rPr>
      </w:pPr>
      <w:r w:rsidDel="00000000" w:rsidR="00000000" w:rsidRPr="00000000">
        <w:rPr>
          <w:rFonts w:ascii="Arial" w:cs="Arial" w:eastAsia="Arial" w:hAnsi="Arial"/>
          <w:b w:val="1"/>
          <w:rtl w:val="0"/>
        </w:rPr>
        <w:t xml:space="preserve">VISTO </w:t>
      </w:r>
      <w:r w:rsidDel="00000000" w:rsidR="00000000" w:rsidRPr="00000000">
        <w:rPr>
          <w:rFonts w:ascii="Arial" w:cs="Arial" w:eastAsia="Arial" w:hAnsi="Arial"/>
          <w:rtl w:val="0"/>
        </w:rPr>
        <w:t xml:space="preserve">che la presente determinazione è sottoposta al controllo di copertura budget dell'Ufficio Amministrazione e Bilancio dell’Ente;</w:t>
      </w:r>
    </w:p>
    <w:p w:rsidR="00000000" w:rsidDel="00000000" w:rsidP="00000000" w:rsidRDefault="00000000" w:rsidRPr="00000000" w14:paraId="00000027">
      <w:pPr>
        <w:widowControl w:val="1"/>
        <w:spacing w:line="240" w:lineRule="auto"/>
        <w:ind w:left="-283.46456692913375" w:right="-291.2598425196836" w:firstLine="0"/>
        <w:jc w:val="both"/>
        <w:rPr>
          <w:rFonts w:ascii="Arial" w:cs="Arial" w:eastAsia="Arial" w:hAnsi="Arial"/>
          <w:b w:val="1"/>
        </w:rPr>
      </w:pPr>
      <w:r w:rsidDel="00000000" w:rsidR="00000000" w:rsidRPr="00000000">
        <w:rPr>
          <w:rFonts w:ascii="Arial" w:cs="Arial" w:eastAsia="Arial" w:hAnsi="Arial"/>
          <w:b w:val="1"/>
          <w:rtl w:val="0"/>
        </w:rPr>
        <w:t xml:space="preserve">RICHIAMATE </w:t>
      </w:r>
      <w:r w:rsidDel="00000000" w:rsidR="00000000" w:rsidRPr="00000000">
        <w:rPr>
          <w:rFonts w:ascii="Arial" w:cs="Arial" w:eastAsia="Arial" w:hAnsi="Arial"/>
          <w:rtl w:val="0"/>
        </w:rPr>
        <w:t xml:space="preserve">le modalità operative descritte nel “Manuale delle Procedure Amministrativo- Contabili” dell'Ente, approvato con Determinazione del Segretario Generale n. 2872 del 17 febbraio 2011;</w:t>
      </w:r>
      <w:r w:rsidDel="00000000" w:rsidR="00000000" w:rsidRPr="00000000">
        <w:rPr>
          <w:rtl w:val="0"/>
        </w:rPr>
      </w:r>
    </w:p>
    <w:p w:rsidR="00000000" w:rsidDel="00000000" w:rsidP="00000000" w:rsidRDefault="00000000" w:rsidRPr="00000000" w14:paraId="00000028">
      <w:pPr>
        <w:widowControl w:val="1"/>
        <w:spacing w:line="240" w:lineRule="auto"/>
        <w:ind w:left="-283.46456692913375" w:right="-291.2598425196836" w:firstLine="0"/>
        <w:jc w:val="both"/>
        <w:rPr>
          <w:rFonts w:ascii="Arial" w:cs="Arial" w:eastAsia="Arial" w:hAnsi="Arial"/>
        </w:rPr>
      </w:pPr>
      <w:r w:rsidDel="00000000" w:rsidR="00000000" w:rsidRPr="00000000">
        <w:rPr>
          <w:rFonts w:ascii="Arial" w:cs="Arial" w:eastAsia="Arial" w:hAnsi="Arial"/>
          <w:b w:val="1"/>
          <w:rtl w:val="0"/>
        </w:rPr>
        <w:t xml:space="preserve">VERIFICATA </w:t>
      </w:r>
      <w:r w:rsidDel="00000000" w:rsidR="00000000" w:rsidRPr="00000000">
        <w:rPr>
          <w:rFonts w:ascii="Arial" w:cs="Arial" w:eastAsia="Arial" w:hAnsi="Arial"/>
          <w:rtl w:val="0"/>
        </w:rPr>
        <w:t xml:space="preserve">preventivamente la disponibilità del budget del conto formazione personale dipendente conto COGE 410724001, capiente per l’importo necessario;</w:t>
      </w:r>
    </w:p>
    <w:p w:rsidR="00000000" w:rsidDel="00000000" w:rsidP="00000000" w:rsidRDefault="00000000" w:rsidRPr="00000000" w14:paraId="00000029">
      <w:pPr>
        <w:spacing w:after="120" w:line="240" w:lineRule="auto"/>
        <w:ind w:left="-283.46456692913375" w:right="-291.2598425196836" w:firstLine="0"/>
        <w:jc w:val="center"/>
        <w:rPr>
          <w:rFonts w:ascii="Arial" w:cs="Arial" w:eastAsia="Arial" w:hAnsi="Arial"/>
          <w:b w:val="1"/>
        </w:rPr>
      </w:pPr>
      <w:r w:rsidDel="00000000" w:rsidR="00000000" w:rsidRPr="00000000">
        <w:rPr>
          <w:rFonts w:ascii="Arial" w:cs="Arial" w:eastAsia="Arial" w:hAnsi="Arial"/>
          <w:b w:val="1"/>
          <w:rtl w:val="0"/>
        </w:rPr>
        <w:t xml:space="preserve">DETERMINA</w:t>
      </w:r>
    </w:p>
    <w:p w:rsidR="00000000" w:rsidDel="00000000" w:rsidP="00000000" w:rsidRDefault="00000000" w:rsidRPr="00000000" w14:paraId="0000002A">
      <w:pPr>
        <w:spacing w:after="120" w:line="240" w:lineRule="auto"/>
        <w:ind w:left="-283.46456692913375" w:right="-291.2598425196836" w:firstLine="0"/>
        <w:jc w:val="both"/>
        <w:rPr>
          <w:rFonts w:ascii="Arial" w:cs="Arial" w:eastAsia="Arial" w:hAnsi="Arial"/>
        </w:rPr>
      </w:pPr>
      <w:r w:rsidDel="00000000" w:rsidR="00000000" w:rsidRPr="00000000">
        <w:rPr>
          <w:rFonts w:ascii="Arial" w:cs="Arial" w:eastAsia="Arial" w:hAnsi="Arial"/>
          <w:rtl w:val="0"/>
        </w:rPr>
        <w:t xml:space="preserve">Sulla base delle motivazioni espresse in premessa e dell’istruttoria svolta, che costituiscono parte integrante e sostanziale della presente determinazione,</w:t>
      </w:r>
    </w:p>
    <w:p w:rsidR="00000000" w:rsidDel="00000000" w:rsidP="00000000" w:rsidRDefault="00000000" w:rsidRPr="00000000" w14:paraId="0000002B">
      <w:pPr>
        <w:ind w:left="-283.46456692913375" w:right="-291.2598425196836" w:firstLine="0"/>
        <w:jc w:val="both"/>
        <w:rPr>
          <w:rFonts w:ascii="Arial" w:cs="Arial" w:eastAsia="Arial" w:hAnsi="Arial"/>
          <w:color w:val="101000"/>
        </w:rPr>
      </w:pPr>
      <w:r w:rsidDel="00000000" w:rsidR="00000000" w:rsidRPr="00000000">
        <w:rPr>
          <w:rFonts w:ascii="Arial" w:cs="Arial" w:eastAsia="Arial" w:hAnsi="Arial"/>
          <w:rtl w:val="0"/>
        </w:rPr>
        <w:t xml:space="preserve">o</w:t>
        <w:tab/>
        <w:t xml:space="preserve">d</w:t>
      </w:r>
      <w:r w:rsidDel="00000000" w:rsidR="00000000" w:rsidRPr="00000000">
        <w:rPr>
          <w:rFonts w:ascii="Arial" w:cs="Arial" w:eastAsia="Arial" w:hAnsi="Arial"/>
          <w:color w:val="101000"/>
          <w:rtl w:val="0"/>
        </w:rPr>
        <w:t xml:space="preserve">i autorizzare, ai sensi dell’art. 50, comma 1, lett. a) e b) del D. Lgs. 36/2023, per le motivazioni indicate in premessa, una Trattativa Diretta sul Mercato Elettronico della Pubblica Amministrazione (MEPA) per un importo presunto pari a euro 35.000;</w:t>
      </w:r>
    </w:p>
    <w:p w:rsidR="00000000" w:rsidDel="00000000" w:rsidP="00000000" w:rsidRDefault="00000000" w:rsidRPr="00000000" w14:paraId="0000002C">
      <w:pPr>
        <w:ind w:left="-283.46456692913375" w:right="-291.2598425196836" w:firstLine="0"/>
        <w:jc w:val="both"/>
        <w:rPr>
          <w:rFonts w:ascii="Arial" w:cs="Arial" w:eastAsia="Arial" w:hAnsi="Arial"/>
        </w:rPr>
      </w:pPr>
      <w:r w:rsidDel="00000000" w:rsidR="00000000" w:rsidRPr="00000000">
        <w:rPr>
          <w:rFonts w:ascii="Arial" w:cs="Arial" w:eastAsia="Arial" w:hAnsi="Arial"/>
          <w:rtl w:val="0"/>
        </w:rPr>
        <w:t xml:space="preserve">o</w:t>
        <w:tab/>
        <w:t xml:space="preserve">Di dare atto che i costi della sicurezza derivanti da rischi di natura interferenziale sono pari a 0,00 (zero).</w:t>
      </w:r>
    </w:p>
    <w:p w:rsidR="00000000" w:rsidDel="00000000" w:rsidP="00000000" w:rsidRDefault="00000000" w:rsidRPr="00000000" w14:paraId="0000002D">
      <w:pPr>
        <w:ind w:left="-283.46456692913375" w:right="-291.2598425196836"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o Tale spesa viene contabilizzata sul conto di costo 410724001, “formazione personale dipendente”, a valere sul budget di gestione di competenza per l’esercizio finanziario 2024 e 2025 gestore 1041;</w:t>
      </w:r>
    </w:p>
    <w:p w:rsidR="00000000" w:rsidDel="00000000" w:rsidP="00000000" w:rsidRDefault="00000000" w:rsidRPr="00000000" w14:paraId="0000002E">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228" w:lineRule="auto"/>
        <w:ind w:left="-283.46456692913375" w:right="-291.2598425196836" w:firstLine="0"/>
        <w:jc w:val="both"/>
        <w:rPr>
          <w:rFonts w:ascii="Arial" w:cs="Arial" w:eastAsia="Arial" w:hAnsi="Arial"/>
        </w:rPr>
      </w:pPr>
      <w:r w:rsidDel="00000000" w:rsidR="00000000" w:rsidRPr="00000000">
        <w:rPr>
          <w:rFonts w:ascii="Arial" w:cs="Arial" w:eastAsia="Arial" w:hAnsi="Arial"/>
          <w:rtl w:val="0"/>
        </w:rPr>
        <w:t xml:space="preserve">o</w:t>
        <w:tab/>
        <w:t xml:space="preserve">di </w:t>
      </w:r>
      <w:r w:rsidDel="00000000" w:rsidR="00000000" w:rsidRPr="00000000">
        <w:rPr>
          <w:rFonts w:ascii="Arial" w:cs="Arial" w:eastAsia="Arial" w:hAnsi="Arial"/>
          <w:color w:val="0d0d0d"/>
          <w:rtl w:val="0"/>
        </w:rPr>
        <w:t xml:space="preserve">nominare Responsabile Unico del Progetto la d.ssa </w:t>
      </w:r>
      <w:r w:rsidDel="00000000" w:rsidR="00000000" w:rsidRPr="00000000">
        <w:rPr>
          <w:rFonts w:ascii="Arial" w:cs="Arial" w:eastAsia="Arial" w:hAnsi="Arial"/>
          <w:color w:val="0d0d0d"/>
          <w:highlight w:val="white"/>
          <w:rtl w:val="0"/>
        </w:rPr>
        <w:t xml:space="preserve">Rita Barletta, </w:t>
      </w:r>
      <w:r w:rsidDel="00000000" w:rsidR="00000000" w:rsidRPr="00000000">
        <w:rPr>
          <w:rFonts w:ascii="Arial" w:cs="Arial" w:eastAsia="Arial" w:hAnsi="Arial"/>
          <w:color w:val="0d0d0d"/>
          <w:rtl w:val="0"/>
        </w:rPr>
        <w:t xml:space="preserve">funzionario dell’Ente;</w:t>
      </w:r>
      <w:r w:rsidDel="00000000" w:rsidR="00000000" w:rsidRPr="00000000">
        <w:rPr>
          <w:rtl w:val="0"/>
        </w:rPr>
      </w:r>
    </w:p>
    <w:p w:rsidR="00000000" w:rsidDel="00000000" w:rsidP="00000000" w:rsidRDefault="00000000" w:rsidRPr="00000000" w14:paraId="0000002F">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228" w:lineRule="auto"/>
        <w:ind w:left="-283.46456692913375" w:right="-291.2598425196836" w:firstLine="0"/>
        <w:jc w:val="both"/>
        <w:rPr>
          <w:rFonts w:ascii="Arial" w:cs="Arial" w:eastAsia="Arial" w:hAnsi="Arial"/>
        </w:rPr>
      </w:pPr>
      <w:r w:rsidDel="00000000" w:rsidR="00000000" w:rsidRPr="00000000">
        <w:rPr>
          <w:rFonts w:ascii="Arial" w:cs="Arial" w:eastAsia="Arial" w:hAnsi="Arial"/>
          <w:color w:val="0d0d0d"/>
          <w:rtl w:val="0"/>
        </w:rPr>
        <w:t xml:space="preserve">Attesta</w:t>
      </w:r>
      <w:r w:rsidDel="00000000" w:rsidR="00000000" w:rsidRPr="00000000">
        <w:rPr>
          <w:rFonts w:ascii="Arial" w:cs="Arial" w:eastAsia="Arial" w:hAnsi="Arial"/>
          <w:rtl w:val="0"/>
        </w:rPr>
        <w:t xml:space="preserve">, ai sensi del D.P.R. n. 445/2000 e consapevole del fatto che, in caso di dichiarazione mendace, verranno applicate nei propri riguardi, ai sensi dell'art. 76 del D.P.R. 28/12/2000 n. 445, le sanzioni previste dal Codice penale e dalle leggi speciali in materia di falsità negli atti, per quanto a propria conoscenza, ai fini del presente affidamento e sulla base della documentazione della procedura: </w:t>
      </w:r>
    </w:p>
    <w:p w:rsidR="00000000" w:rsidDel="00000000" w:rsidP="00000000" w:rsidRDefault="00000000" w:rsidRPr="00000000" w14:paraId="00000030">
      <w:pPr>
        <w:widowControl w:val="1"/>
        <w:pBdr>
          <w:top w:color="000000" w:space="0" w:sz="0" w:val="none"/>
          <w:left w:color="000000" w:space="0" w:sz="0" w:val="none"/>
          <w:bottom w:color="000000" w:space="0" w:sz="0" w:val="none"/>
          <w:right w:color="000000" w:space="0" w:sz="0" w:val="none"/>
          <w:between w:color="000000" w:space="0" w:sz="0" w:val="none"/>
        </w:pBdr>
        <w:shd w:fill="ffffff" w:val="clear"/>
        <w:spacing w:after="0" w:before="240" w:line="228" w:lineRule="auto"/>
        <w:ind w:left="-283.46456692913375" w:right="-291.2598425196836" w:firstLine="0"/>
        <w:jc w:val="both"/>
        <w:rPr>
          <w:rFonts w:ascii="Arial" w:cs="Arial" w:eastAsia="Arial" w:hAnsi="Arial"/>
        </w:rPr>
      </w:pPr>
      <w:r w:rsidDel="00000000" w:rsidR="00000000" w:rsidRPr="00000000">
        <w:rPr>
          <w:rFonts w:ascii="Arial" w:cs="Arial" w:eastAsia="Arial" w:hAnsi="Arial"/>
          <w:rtl w:val="0"/>
        </w:rPr>
        <w:t xml:space="preserve">o</w:t>
        <w:tab/>
        <w:t xml:space="preserve">che non sussistono situazioni di incompatibilità ai sensi dell’art. 35-bis del decreto legislativo n.165/2001 e s.m.i.;</w:t>
      </w:r>
    </w:p>
    <w:p w:rsidR="00000000" w:rsidDel="00000000" w:rsidP="00000000" w:rsidRDefault="00000000" w:rsidRPr="00000000" w14:paraId="00000031">
      <w:pPr>
        <w:widowControl w:val="1"/>
        <w:spacing w:after="0" w:line="240" w:lineRule="auto"/>
        <w:ind w:left="-283.46456692913375" w:right="-291.259842519683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2">
      <w:pPr>
        <w:widowControl w:val="1"/>
        <w:spacing w:after="0" w:line="240" w:lineRule="auto"/>
        <w:ind w:left="-283.46456692913375" w:right="-291.2598425196836" w:firstLine="0"/>
        <w:jc w:val="both"/>
        <w:rPr>
          <w:rFonts w:ascii="Arial" w:cs="Arial" w:eastAsia="Arial" w:hAnsi="Arial"/>
        </w:rPr>
      </w:pPr>
      <w:r w:rsidDel="00000000" w:rsidR="00000000" w:rsidRPr="00000000">
        <w:rPr>
          <w:rFonts w:ascii="Arial" w:cs="Arial" w:eastAsia="Arial" w:hAnsi="Arial"/>
          <w:rtl w:val="0"/>
        </w:rPr>
        <w:t xml:space="preserve">o</w:t>
        <w:tab/>
        <w:t xml:space="preserve">che la sottoscritta, con riferimento al presente affidamento, non si trova in situazioni di conflitto di interessi, anche potenziale, ai sensi e per gli effetti dell'art. 42 del Codice dei contratti pubblici, nonché dell’art. 6-bis della legge n. 241/90;</w:t>
      </w:r>
    </w:p>
    <w:p w:rsidR="00000000" w:rsidDel="00000000" w:rsidP="00000000" w:rsidRDefault="00000000" w:rsidRPr="00000000" w14:paraId="00000033">
      <w:pPr>
        <w:widowControl w:val="1"/>
        <w:spacing w:after="0" w:line="240" w:lineRule="auto"/>
        <w:ind w:left="-283.46456692913375" w:right="-291.259842519683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4">
      <w:pPr>
        <w:widowControl w:val="1"/>
        <w:spacing w:after="0" w:line="240" w:lineRule="auto"/>
        <w:ind w:left="-283.46456692913375" w:right="-291.2598425196836" w:firstLine="0"/>
        <w:jc w:val="both"/>
        <w:rPr>
          <w:rFonts w:ascii="Arial" w:cs="Arial" w:eastAsia="Arial" w:hAnsi="Arial"/>
        </w:rPr>
      </w:pPr>
      <w:r w:rsidDel="00000000" w:rsidR="00000000" w:rsidRPr="00000000">
        <w:rPr>
          <w:rFonts w:ascii="Arial" w:cs="Arial" w:eastAsia="Arial" w:hAnsi="Arial"/>
          <w:rtl w:val="0"/>
        </w:rPr>
        <w:t xml:space="preserve">o</w:t>
        <w:tab/>
        <w:t xml:space="preserve">di non incorrere in una delle ipotesi previste dall’art. 51 del c.p.c. e che non sussistono comunque gravi ragioni di convenienza che inducono all’astensione dall’assunzione del provvedimento.</w:t>
      </w:r>
    </w:p>
    <w:p w:rsidR="00000000" w:rsidDel="00000000" w:rsidP="00000000" w:rsidRDefault="00000000" w:rsidRPr="00000000" w14:paraId="00000035">
      <w:pPr>
        <w:widowControl w:val="1"/>
        <w:spacing w:after="0" w:line="240" w:lineRule="auto"/>
        <w:ind w:left="-283.46456692913375" w:right="-291.259842519683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6">
      <w:pPr>
        <w:widowControl w:val="1"/>
        <w:spacing w:after="0" w:line="240" w:lineRule="auto"/>
        <w:ind w:left="-283.46456692913375" w:right="-291.2598425196836" w:firstLine="0"/>
        <w:jc w:val="both"/>
        <w:rPr>
          <w:rFonts w:ascii="Arial" w:cs="Arial" w:eastAsia="Arial" w:hAnsi="Arial"/>
        </w:rPr>
      </w:pPr>
      <w:r w:rsidDel="00000000" w:rsidR="00000000" w:rsidRPr="00000000">
        <w:rPr>
          <w:rFonts w:ascii="Arial" w:cs="Arial" w:eastAsia="Arial" w:hAnsi="Arial"/>
          <w:rtl w:val="0"/>
        </w:rPr>
        <w:t xml:space="preserve">Dispone che il presente provvedimento, in ossequio al principio di trasparenza e fatto salvo quanto previsto dall’art.1, comma 32, della Legge 190/2012 e dal D.Lgs. 33/2013 e s.m.i., venga pubblicato, ai sensi dell'art. 29 del Codice dei contratti pubblici, sul sito web dell'Ente, sezione Amministrazione Trasparente/Bandi di gara e contratti.</w:t>
      </w:r>
    </w:p>
    <w:p w:rsidR="00000000" w:rsidDel="00000000" w:rsidP="00000000" w:rsidRDefault="00000000" w:rsidRPr="00000000" w14:paraId="00000037">
      <w:pPr>
        <w:widowControl w:val="1"/>
        <w:spacing w:after="0" w:line="240" w:lineRule="auto"/>
        <w:ind w:left="-283.46456692913375" w:right="-291.259842519683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8">
      <w:pPr>
        <w:widowControl w:val="1"/>
        <w:spacing w:after="0" w:line="240" w:lineRule="auto"/>
        <w:jc w:val="both"/>
        <w:rPr>
          <w:rFonts w:ascii="Arial" w:cs="Arial" w:eastAsia="Arial" w:hAnsi="Arial"/>
        </w:rPr>
      </w:pPr>
      <w:r w:rsidDel="00000000" w:rsidR="00000000" w:rsidRPr="00000000">
        <w:rPr>
          <w:rFonts w:ascii="Arial" w:cs="Arial" w:eastAsia="Arial" w:hAnsi="Arial"/>
          <w:rtl w:val="0"/>
        </w:rPr>
        <w:tab/>
        <w:tab/>
        <w:tab/>
        <w:tab/>
        <w:tab/>
        <w:tab/>
        <w:tab/>
        <w:tab/>
        <w:t xml:space="preserve">    </w:t>
      </w:r>
    </w:p>
    <w:p w:rsidR="00000000" w:rsidDel="00000000" w:rsidP="00000000" w:rsidRDefault="00000000" w:rsidRPr="00000000" w14:paraId="00000039">
      <w:pPr>
        <w:widowControl w:val="1"/>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A">
      <w:pPr>
        <w:widowControl w:val="1"/>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B">
      <w:pPr>
        <w:widowControl w:val="1"/>
        <w:spacing w:after="0" w:line="240" w:lineRule="auto"/>
        <w:jc w:val="both"/>
        <w:rPr>
          <w:rFonts w:ascii="Arial" w:cs="Arial" w:eastAsia="Arial" w:hAnsi="Arial"/>
        </w:rPr>
      </w:pPr>
      <w:r w:rsidDel="00000000" w:rsidR="00000000" w:rsidRPr="00000000">
        <w:rPr>
          <w:rFonts w:ascii="Arial" w:cs="Arial" w:eastAsia="Arial" w:hAnsi="Arial"/>
          <w:rtl w:val="0"/>
        </w:rPr>
        <w:t xml:space="preserve">Il RESPONSABILE UNICO DEL PROGETTO</w:t>
        <w:tab/>
        <w:tab/>
        <w:tab/>
        <w:tab/>
        <w:tab/>
        <w:tab/>
        <w:tab/>
        <w:tab/>
        <w:tab/>
        <w:t xml:space="preserve">Rita Barletta   </w:t>
        <w:tab/>
        <w:t xml:space="preserve">  </w:t>
        <w:tab/>
        <w:tab/>
        <w:tab/>
        <w:tab/>
        <w:t xml:space="preserve">   </w:t>
        <w:tab/>
        <w:t xml:space="preserve"> IL DIRIGENTE</w:t>
      </w:r>
    </w:p>
    <w:p w:rsidR="00000000" w:rsidDel="00000000" w:rsidP="00000000" w:rsidRDefault="00000000" w:rsidRPr="00000000" w14:paraId="0000003C">
      <w:pPr>
        <w:widowControl w:val="1"/>
        <w:spacing w:after="0" w:line="240" w:lineRule="auto"/>
        <w:jc w:val="both"/>
        <w:rPr>
          <w:rFonts w:ascii="Arial" w:cs="Arial" w:eastAsia="Arial" w:hAnsi="Arial"/>
          <w:b w:val="1"/>
          <w:smallCaps w:val="1"/>
        </w:rPr>
      </w:pPr>
      <w:r w:rsidDel="00000000" w:rsidR="00000000" w:rsidRPr="00000000">
        <w:rPr>
          <w:rFonts w:ascii="Arial" w:cs="Arial" w:eastAsia="Arial" w:hAnsi="Arial"/>
          <w:rtl w:val="0"/>
        </w:rPr>
        <w:tab/>
        <w:tab/>
        <w:tab/>
        <w:tab/>
        <w:tab/>
        <w:tab/>
        <w:tab/>
        <w:tab/>
        <w:t xml:space="preserve">  </w:t>
        <w:tab/>
        <w:t xml:space="preserve">Antonella Palumbo</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133.8582677165355" w:top="1984.2519685039372" w:left="1133.8582677165355" w:right="1133.8582677165355"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right"/>
      <w:rPr/>
    </w:pPr>
    <w:r w:rsidDel="00000000" w:rsidR="00000000" w:rsidRPr="00000000">
      <w:rPr>
        <w:rFonts w:ascii="Arial" w:cs="Arial" w:eastAsia="Arial" w:hAnsi="Arial"/>
        <w:highlight w:val="whit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widowControl w:val="1"/>
      <w:tabs>
        <w:tab w:val="center" w:leader="none" w:pos="4819"/>
        <w:tab w:val="right" w:leader="none" w:pos="9638"/>
      </w:tabs>
      <w:spacing w:after="0" w:line="240" w:lineRule="auto"/>
      <w:rPr/>
    </w:pPr>
    <w:r w:rsidDel="00000000" w:rsidR="00000000" w:rsidRPr="00000000">
      <w:rPr>
        <w:rFonts w:ascii="Times New Roman" w:cs="Times New Roman" w:eastAsia="Times New Roman" w:hAnsi="Times New Roman"/>
        <w:sz w:val="24"/>
        <w:szCs w:val="24"/>
      </w:rPr>
      <w:drawing>
        <wp:inline distB="0" distT="0" distL="0" distR="0">
          <wp:extent cx="2678430" cy="669608"/>
          <wp:effectExtent b="0" l="0" r="0" t="0"/>
          <wp:docPr descr="C:\Users\687443\Desktop\aci.bmp" id="11" name="image1.png"/>
          <a:graphic>
            <a:graphicData uri="http://schemas.openxmlformats.org/drawingml/2006/picture">
              <pic:pic>
                <pic:nvPicPr>
                  <pic:cNvPr descr="C:\Users\687443\Desktop\aci.bmp" id="0" name="image1.png"/>
                  <pic:cNvPicPr preferRelativeResize="0"/>
                </pic:nvPicPr>
                <pic:blipFill>
                  <a:blip r:embed="rId1"/>
                  <a:srcRect b="0" l="0" r="0" t="0"/>
                  <a:stretch>
                    <a:fillRect/>
                  </a:stretch>
                </pic:blipFill>
                <pic:spPr>
                  <a:xfrm>
                    <a:off x="0" y="0"/>
                    <a:ext cx="2678430" cy="66960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widowControl w:val="1"/>
      <w:tabs>
        <w:tab w:val="center" w:leader="none" w:pos="4819"/>
        <w:tab w:val="right" w:leader="none" w:pos="9638"/>
      </w:tabs>
      <w:spacing w:after="0" w:line="240" w:lineRule="auto"/>
      <w:rPr/>
    </w:pPr>
    <w:r w:rsidDel="00000000" w:rsidR="00000000" w:rsidRPr="00000000">
      <w:rPr>
        <w:rFonts w:ascii="Times New Roman" w:cs="Times New Roman" w:eastAsia="Times New Roman" w:hAnsi="Times New Roman"/>
        <w:sz w:val="24"/>
        <w:szCs w:val="24"/>
      </w:rPr>
      <w:drawing>
        <wp:inline distB="0" distT="0" distL="0" distR="0">
          <wp:extent cx="2678430" cy="669608"/>
          <wp:effectExtent b="0" l="0" r="0" t="0"/>
          <wp:docPr descr="C:\Users\687443\Desktop\aci.bmp" id="12" name="image1.png"/>
          <a:graphic>
            <a:graphicData uri="http://schemas.openxmlformats.org/drawingml/2006/picture">
              <pic:pic>
                <pic:nvPicPr>
                  <pic:cNvPr descr="C:\Users\687443\Desktop\aci.bmp" id="0" name="image1.png"/>
                  <pic:cNvPicPr preferRelativeResize="0"/>
                </pic:nvPicPr>
                <pic:blipFill>
                  <a:blip r:embed="rId1"/>
                  <a:srcRect b="0" l="0" r="0" t="0"/>
                  <a:stretch>
                    <a:fillRect/>
                  </a:stretch>
                </pic:blipFill>
                <pic:spPr>
                  <a:xfrm>
                    <a:off x="0" y="0"/>
                    <a:ext cx="2678430" cy="66960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mbria" w:cs="Cambria" w:eastAsia="Cambria" w:hAnsi="Cambria"/>
      <w:b w:val="1"/>
      <w:i w:val="1"/>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Cambria" w:cs="Cambria" w:eastAsia="Cambria" w:hAnsi="Cambria"/>
      <w:b w:val="1"/>
      <w:i w:val="0"/>
      <w:smallCaps w:val="0"/>
      <w:strike w:val="0"/>
      <w:color w:val="000000"/>
      <w:sz w:val="26"/>
      <w:szCs w:val="26"/>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pPr>
    <w:rPr>
      <w:rFonts w:ascii="Calibri" w:cs="Calibri" w:eastAsia="Calibri" w:hAnsi="Calibri"/>
      <w:b w:val="1"/>
      <w:i w:val="0"/>
      <w:smallCaps w:val="0"/>
      <w:strike w:val="0"/>
      <w:color w:val="000000"/>
      <w:sz w:val="22"/>
      <w:szCs w:val="22"/>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84SnRctl8wUHXfkXyL2WYRQ/aw==">CgMxLjAyCWguMmV0OTJwMDgAciExOEVZTmFtUi12LW9LX0h6X0hJczJUbVdOZXJNdWl6QkI=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